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3DEB" w:rsidRPr="00E43DEB" w:rsidRDefault="00E43DEB" w:rsidP="00E43DEB">
      <w:pPr>
        <w:pStyle w:val="Default"/>
        <w:jc w:val="center"/>
        <w:rPr>
          <w:b/>
          <w:bCs/>
          <w:sz w:val="28"/>
          <w:szCs w:val="20"/>
        </w:rPr>
      </w:pPr>
      <w:r w:rsidRPr="00E43DEB">
        <w:rPr>
          <w:b/>
          <w:bCs/>
          <w:sz w:val="28"/>
          <w:szCs w:val="20"/>
        </w:rPr>
        <w:t>Лисенко Ірина Анатоліївна</w:t>
      </w:r>
    </w:p>
    <w:p w:rsidR="00E43DEB" w:rsidRPr="00E43DEB" w:rsidRDefault="00E43DEB" w:rsidP="00E43DEB">
      <w:pPr>
        <w:pStyle w:val="Default"/>
        <w:jc w:val="center"/>
        <w:rPr>
          <w:sz w:val="28"/>
          <w:szCs w:val="20"/>
        </w:rPr>
      </w:pPr>
      <w:r w:rsidRPr="00E43DEB">
        <w:rPr>
          <w:sz w:val="28"/>
          <w:szCs w:val="20"/>
        </w:rPr>
        <w:t>Кандидат наук з фізичного виховання і спорту,</w:t>
      </w:r>
    </w:p>
    <w:p w:rsidR="00E43DEB" w:rsidRPr="00E43DEB" w:rsidRDefault="00E43DEB" w:rsidP="00E43DEB">
      <w:pPr>
        <w:pStyle w:val="Default"/>
        <w:jc w:val="center"/>
        <w:rPr>
          <w:sz w:val="28"/>
          <w:szCs w:val="20"/>
        </w:rPr>
      </w:pPr>
      <w:r w:rsidRPr="00E43DEB">
        <w:rPr>
          <w:sz w:val="28"/>
          <w:szCs w:val="20"/>
        </w:rPr>
        <w:t>доцент ORCID: 0009-0007-7635-2394</w:t>
      </w:r>
    </w:p>
    <w:p w:rsidR="00E43DEB" w:rsidRPr="00E43DEB" w:rsidRDefault="00E43DEB" w:rsidP="00E43DEB">
      <w:pPr>
        <w:pStyle w:val="Default"/>
        <w:jc w:val="center"/>
        <w:rPr>
          <w:i/>
          <w:iCs/>
          <w:sz w:val="28"/>
          <w:szCs w:val="20"/>
        </w:rPr>
      </w:pPr>
      <w:r w:rsidRPr="00E43DEB">
        <w:rPr>
          <w:i/>
          <w:iCs/>
          <w:sz w:val="28"/>
          <w:szCs w:val="20"/>
        </w:rPr>
        <w:t>Національний університет фізичного виховання і спорту України</w:t>
      </w:r>
    </w:p>
    <w:p w:rsidR="00E43DEB" w:rsidRPr="00E43DEB" w:rsidRDefault="00E43DEB" w:rsidP="00E43DEB">
      <w:pPr>
        <w:pStyle w:val="Default"/>
        <w:jc w:val="center"/>
        <w:rPr>
          <w:b/>
          <w:bCs/>
          <w:sz w:val="28"/>
          <w:szCs w:val="20"/>
        </w:rPr>
      </w:pPr>
      <w:r w:rsidRPr="00E43DEB">
        <w:rPr>
          <w:b/>
          <w:bCs/>
          <w:sz w:val="28"/>
          <w:szCs w:val="20"/>
        </w:rPr>
        <w:t>Ібрагімлі Тогул Рауф</w:t>
      </w:r>
    </w:p>
    <w:p w:rsidR="00E43DEB" w:rsidRPr="00E43DEB" w:rsidRDefault="00E43DEB" w:rsidP="00E43DEB">
      <w:pPr>
        <w:pStyle w:val="Default"/>
        <w:jc w:val="center"/>
        <w:rPr>
          <w:i/>
          <w:iCs/>
          <w:sz w:val="28"/>
          <w:szCs w:val="20"/>
        </w:rPr>
      </w:pPr>
      <w:r w:rsidRPr="00E43DEB">
        <w:rPr>
          <w:i/>
          <w:iCs/>
          <w:sz w:val="28"/>
          <w:szCs w:val="20"/>
        </w:rPr>
        <w:t>Національний університет фізичного виховання і спорту України</w:t>
      </w:r>
    </w:p>
    <w:p w:rsidR="00E43DEB" w:rsidRDefault="00E43DEB" w:rsidP="00E43DEB">
      <w:pPr>
        <w:pStyle w:val="Default"/>
        <w:ind w:firstLine="709"/>
        <w:jc w:val="center"/>
        <w:rPr>
          <w:b/>
          <w:bCs/>
          <w:sz w:val="28"/>
          <w:szCs w:val="28"/>
          <w:lang w:val="uk-UA"/>
        </w:rPr>
      </w:pPr>
    </w:p>
    <w:p w:rsidR="00E43DEB" w:rsidRPr="00E43DEB" w:rsidRDefault="00E43DEB" w:rsidP="00E43DEB">
      <w:pPr>
        <w:pStyle w:val="Default"/>
        <w:ind w:firstLine="709"/>
        <w:jc w:val="center"/>
        <w:rPr>
          <w:b/>
          <w:bCs/>
          <w:sz w:val="28"/>
          <w:szCs w:val="28"/>
          <w:lang w:val="uk-UA"/>
        </w:rPr>
      </w:pPr>
      <w:r w:rsidRPr="00E43DEB">
        <w:rPr>
          <w:b/>
          <w:bCs/>
          <w:sz w:val="28"/>
          <w:szCs w:val="28"/>
          <w:lang w:val="uk-UA"/>
        </w:rPr>
        <w:t>СТРАТЕГІЯ ЗАСТОСУВАННЯ СПОНСОРСЬКИХ ІНСТРУМЕНТІВ У МЕНЕДЖМЕНТІ НЕОЛІМПІЙСЬКИХ ВИДІВ СПОРТИВНИХ ЄДИНОБОРСТВ</w:t>
      </w:r>
    </w:p>
    <w:p w:rsidR="00E43DEB" w:rsidRDefault="00E43DEB" w:rsidP="00E43DEB">
      <w:pPr>
        <w:pStyle w:val="Default"/>
        <w:ind w:firstLine="709"/>
        <w:jc w:val="both"/>
        <w:rPr>
          <w:i/>
          <w:iCs/>
          <w:sz w:val="28"/>
          <w:szCs w:val="28"/>
          <w:lang w:val="uk-UA"/>
        </w:rPr>
      </w:pPr>
    </w:p>
    <w:p w:rsidR="00E43DEB" w:rsidRPr="00E43DEB" w:rsidRDefault="00E43DEB" w:rsidP="00E43DEB">
      <w:pPr>
        <w:pStyle w:val="Default"/>
        <w:ind w:firstLine="709"/>
        <w:jc w:val="both"/>
        <w:rPr>
          <w:sz w:val="28"/>
          <w:szCs w:val="28"/>
          <w:lang w:val="uk-UA"/>
        </w:rPr>
      </w:pPr>
      <w:r w:rsidRPr="00E43DEB">
        <w:rPr>
          <w:i/>
          <w:iCs/>
          <w:sz w:val="28"/>
          <w:szCs w:val="28"/>
          <w:lang w:val="uk-UA"/>
        </w:rPr>
        <w:t xml:space="preserve">У статті досліджено особливості організації спонсорської діяльності у неолімпійських видах спортивних єдиноборств із урахуванням їх специфіки та викликів сучасного спортивного менеджменту. Запропоновано адаптовану модель інтегрованих маркетингових комунікацій SIMCM, яка базується на поєднанні класичних та інноваційних інструментів просування й взаємодії з аудиторією. У межах дослідження розроблено структуру моделі, охарактеризовано кожен її елемент, визначено критерії оцінювання ефективності та запропоновано методологію впровадження. Особлива увага приділена інтеграції гуманістичних принципів маркетингу (4Е), що дозволяє підвищити соціальну, етичну та емоційну цінність спонсорства в спортивному контексті. Висновки підтверджують ефективність системного підходу до формування партнерських відносин, підвищення іміджу організацій і залучення додаткових ресурсів. Ключові слова: спортивний менеджмент; спонсорська діяльність; неолімпійські види спорту; SIMCM; спортивні єдиноборства; маркетингові комунікації; інтегровані стратегії; фандрайзинг; реклама; пабліситі. </w:t>
      </w:r>
      <w:r w:rsidRPr="00E43DEB">
        <w:rPr>
          <w:b/>
          <w:bCs/>
          <w:sz w:val="28"/>
          <w:szCs w:val="28"/>
          <w:lang w:val="uk-UA"/>
        </w:rPr>
        <w:t xml:space="preserve">Актуальність. </w:t>
      </w:r>
      <w:r w:rsidRPr="00E43DEB">
        <w:rPr>
          <w:sz w:val="28"/>
          <w:szCs w:val="28"/>
          <w:lang w:val="uk-UA"/>
        </w:rPr>
        <w:t xml:space="preserve">У сучасних умовах розвитку спортивної індустрії важливою складовою ефективного менеджменту є налагодження результативної спонсорської діяльності. Особливо це стосується неолімпійських видів спортивних єдиноборств, які мають свою специфіку функціонування і низку проблем, пов’язаних із популяризацією, залученням аудиторії та фінансуванням. Традиційні маркетингові інструменти, що застосовуються в спорті (реклама, стимулювання продажу, особисті продажі, пабліситі, гудвіл), без урахування особливостей галузі виявляються недостатньо ефективними. Аналіз наукових досліджень показує, що основними специфічними рисами неолімпійських видів спортивних єдиноборств є непередбачуваність результатів змагань, широкомасштабність фізкультурно-спортивних і рекламно-пропагандистських заходів, сильний емоційний вплив на споживачів послуг, а також нематеріальний характер самих послуг, що надаються. Важливою є й роль потенційної аудиторії глядачів, яка активно залучається до спортивних подій. Тому для досягнення високої ефективності спонсорської діяльності у менеджменті неолімпійських видів єдиноборств необхідно застосовувати комплексний підхід, який враховує сучасні тенденції розвитку спонсорства, інноваційні маркетингові рішення і особливості аудиторії. </w:t>
      </w:r>
      <w:r w:rsidRPr="00E43DEB">
        <w:rPr>
          <w:b/>
          <w:bCs/>
          <w:sz w:val="28"/>
          <w:szCs w:val="28"/>
          <w:lang w:val="uk-UA"/>
        </w:rPr>
        <w:t xml:space="preserve">Метою дослідження </w:t>
      </w:r>
      <w:r w:rsidRPr="00E43DEB">
        <w:rPr>
          <w:sz w:val="28"/>
          <w:szCs w:val="28"/>
          <w:lang w:val="uk-UA"/>
        </w:rPr>
        <w:t xml:space="preserve">є обґрунтування доцільності та розробка ефективної моделі управління спонсорською діяльністю в неолімпійських видах спортивних єдиноборств на основі інтегрованих маркетингових комунікацій (SIMCM), що враховує галузеву специфіку, потреби цільової аудиторії та сучасні </w:t>
      </w:r>
      <w:r w:rsidRPr="00E43DEB">
        <w:rPr>
          <w:sz w:val="28"/>
          <w:szCs w:val="28"/>
          <w:lang w:val="uk-UA"/>
        </w:rPr>
        <w:lastRenderedPageBreak/>
        <w:t xml:space="preserve">тенденції спортивного маркетингу з акцентом на гуманістичні цінності та соціальну відповідальність. </w:t>
      </w:r>
      <w:r w:rsidRPr="00E43DEB">
        <w:rPr>
          <w:b/>
          <w:bCs/>
          <w:sz w:val="28"/>
          <w:szCs w:val="28"/>
          <w:lang w:val="uk-UA"/>
        </w:rPr>
        <w:t xml:space="preserve">Основний матеріал. </w:t>
      </w:r>
      <w:r w:rsidRPr="00E43DEB">
        <w:rPr>
          <w:sz w:val="28"/>
          <w:szCs w:val="28"/>
          <w:lang w:val="uk-UA"/>
        </w:rPr>
        <w:t xml:space="preserve">В основі запропонованої стратегії лежить модель SIMCM (Sponsorship Integrated Marketing Communication Model), яка поєднує класичні маркетингові інструменти зі специфічними елементами спортивного спонсорства. Ця модель включає в себе: </w:t>
      </w:r>
    </w:p>
    <w:p w:rsidR="00E43DEB" w:rsidRPr="00E43DEB" w:rsidRDefault="00E43DEB" w:rsidP="00E43DEB">
      <w:pPr>
        <w:pStyle w:val="Default"/>
        <w:numPr>
          <w:ilvl w:val="0"/>
          <w:numId w:val="1"/>
        </w:numPr>
        <w:spacing w:after="31"/>
        <w:ind w:firstLine="709"/>
        <w:jc w:val="both"/>
        <w:rPr>
          <w:sz w:val="28"/>
          <w:szCs w:val="28"/>
          <w:lang w:val="uk-UA"/>
        </w:rPr>
      </w:pPr>
      <w:r w:rsidRPr="00E43DEB">
        <w:rPr>
          <w:sz w:val="28"/>
          <w:szCs w:val="28"/>
          <w:lang w:val="uk-UA"/>
        </w:rPr>
        <w:t xml:space="preserve">Елементи комплексу стимулювання збуту Філіпа Котлера: реклама, особисті контакти, стимули, реклама в місцях продажу, пабліситі; </w:t>
      </w:r>
    </w:p>
    <w:p w:rsidR="00E43DEB" w:rsidRPr="00E43DEB" w:rsidRDefault="00E43DEB" w:rsidP="00E43DEB">
      <w:pPr>
        <w:pStyle w:val="Default"/>
        <w:numPr>
          <w:ilvl w:val="0"/>
          <w:numId w:val="1"/>
        </w:numPr>
        <w:spacing w:after="31"/>
        <w:ind w:firstLine="709"/>
        <w:jc w:val="both"/>
        <w:rPr>
          <w:sz w:val="28"/>
          <w:szCs w:val="28"/>
          <w:lang w:val="uk-UA"/>
        </w:rPr>
      </w:pPr>
      <w:r w:rsidRPr="00E43DEB">
        <w:rPr>
          <w:sz w:val="28"/>
          <w:szCs w:val="28"/>
          <w:lang w:val="uk-UA"/>
        </w:rPr>
        <w:t xml:space="preserve">Елементи комплексу Ірвіна зі стимулювання продажу послуг у спорті: спонсорство та ліцензування; </w:t>
      </w:r>
    </w:p>
    <w:p w:rsidR="00E43DEB" w:rsidRPr="00E43DEB" w:rsidRDefault="00E43DEB" w:rsidP="00E43DEB">
      <w:pPr>
        <w:pStyle w:val="Default"/>
        <w:numPr>
          <w:ilvl w:val="0"/>
          <w:numId w:val="1"/>
        </w:numPr>
        <w:ind w:firstLine="709"/>
        <w:jc w:val="both"/>
        <w:rPr>
          <w:sz w:val="28"/>
          <w:szCs w:val="28"/>
          <w:lang w:val="uk-UA"/>
        </w:rPr>
      </w:pPr>
      <w:r w:rsidRPr="00E43DEB">
        <w:rPr>
          <w:sz w:val="28"/>
          <w:szCs w:val="28"/>
          <w:lang w:val="uk-UA"/>
        </w:rPr>
        <w:t xml:space="preserve">Доповнення від Джона Біча та Саймона Чедвіка: робота з аудиторією уболівальників і фанів. </w:t>
      </w:r>
    </w:p>
    <w:p w:rsidR="00E43DEB" w:rsidRPr="00E43DEB" w:rsidRDefault="00E43DEB" w:rsidP="00E43DEB">
      <w:pPr>
        <w:pStyle w:val="Default"/>
        <w:ind w:firstLine="709"/>
        <w:jc w:val="both"/>
        <w:rPr>
          <w:sz w:val="28"/>
          <w:szCs w:val="28"/>
          <w:lang w:val="uk-UA"/>
        </w:rPr>
      </w:pPr>
      <w:r w:rsidRPr="00E43DEB">
        <w:rPr>
          <w:sz w:val="28"/>
          <w:szCs w:val="28"/>
          <w:lang w:val="uk-UA"/>
        </w:rPr>
        <w:t>Таке об’єднання дозволяє врахувати специфіку спортивного спонсорства у неолімпійських видах єдиноборств і</w:t>
      </w:r>
    </w:p>
    <w:p w:rsidR="00E43DEB" w:rsidRPr="00E43DEB" w:rsidRDefault="00E43DEB" w:rsidP="00E43DEB">
      <w:pPr>
        <w:pStyle w:val="Default"/>
        <w:ind w:firstLine="709"/>
        <w:jc w:val="both"/>
        <w:rPr>
          <w:sz w:val="28"/>
          <w:szCs w:val="28"/>
          <w:lang w:val="uk-UA"/>
        </w:rPr>
      </w:pPr>
      <w:r w:rsidRPr="00E43DEB">
        <w:rPr>
          <w:sz w:val="28"/>
          <w:szCs w:val="28"/>
          <w:lang w:val="uk-UA"/>
        </w:rPr>
        <w:t>побудувати ефективну систему комунікацій зі всіма зацікавленими сторонами. Моделі SIMCM складається з наступних елементів: робота з аудиторією потенційних та реальних спонсорів; реклама; пабліситі; особистий контакт; стимули; реклама на спортивних об’єктах; ліцензування; фандрайзинг (таб. 1).</w:t>
      </w:r>
    </w:p>
    <w:p w:rsidR="00E43DEB" w:rsidRPr="00E43DEB" w:rsidRDefault="00E43DEB" w:rsidP="00E43DEB">
      <w:pPr>
        <w:pStyle w:val="Default"/>
        <w:ind w:firstLine="709"/>
        <w:jc w:val="right"/>
        <w:rPr>
          <w:b/>
          <w:i/>
          <w:sz w:val="28"/>
          <w:szCs w:val="28"/>
          <w:lang w:val="uk-UA"/>
        </w:rPr>
      </w:pPr>
      <w:r w:rsidRPr="00E43DEB">
        <w:rPr>
          <w:b/>
          <w:i/>
          <w:sz w:val="28"/>
          <w:szCs w:val="28"/>
          <w:lang w:val="uk-UA"/>
        </w:rPr>
        <w:t>Таблиця 1</w:t>
      </w:r>
    </w:p>
    <w:p w:rsidR="00E43DEB" w:rsidRDefault="00E43DEB" w:rsidP="00E43DEB">
      <w:pPr>
        <w:pStyle w:val="Default"/>
        <w:ind w:firstLine="709"/>
        <w:jc w:val="center"/>
        <w:rPr>
          <w:b/>
          <w:sz w:val="28"/>
          <w:szCs w:val="28"/>
          <w:lang w:val="uk-UA"/>
        </w:rPr>
      </w:pPr>
      <w:r w:rsidRPr="00E43DEB">
        <w:rPr>
          <w:b/>
          <w:sz w:val="28"/>
          <w:szCs w:val="28"/>
          <w:lang w:val="uk-UA"/>
        </w:rPr>
        <w:t>Основні елементи моделі SIMCM: завдання, методи реалізації та очікувані результати</w:t>
      </w:r>
    </w:p>
    <w:p w:rsidR="00E43DEB" w:rsidRDefault="00E43DEB" w:rsidP="00E43DEB">
      <w:pPr>
        <w:pStyle w:val="Default"/>
        <w:jc w:val="both"/>
        <w:rPr>
          <w:sz w:val="22"/>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2410"/>
        <w:gridCol w:w="2410"/>
        <w:gridCol w:w="3226"/>
      </w:tblGrid>
      <w:tr w:rsidR="00E43DEB" w:rsidTr="00E43DEB">
        <w:tblPrEx>
          <w:tblCellMar>
            <w:top w:w="0" w:type="dxa"/>
            <w:bottom w:w="0" w:type="dxa"/>
          </w:tblCellMar>
        </w:tblPrEx>
        <w:trPr>
          <w:trHeight w:val="80"/>
        </w:trPr>
        <w:tc>
          <w:tcPr>
            <w:tcW w:w="2410" w:type="dxa"/>
          </w:tcPr>
          <w:p w:rsidR="00E43DEB" w:rsidRPr="00E43DEB" w:rsidRDefault="00E43DEB">
            <w:pPr>
              <w:pStyle w:val="Default"/>
              <w:rPr>
                <w:szCs w:val="18"/>
              </w:rPr>
            </w:pPr>
            <w:r w:rsidRPr="00E43DEB">
              <w:rPr>
                <w:b/>
                <w:bCs/>
                <w:szCs w:val="18"/>
              </w:rPr>
              <w:t xml:space="preserve">Елемент моделі </w:t>
            </w:r>
          </w:p>
        </w:tc>
        <w:tc>
          <w:tcPr>
            <w:tcW w:w="2410" w:type="dxa"/>
          </w:tcPr>
          <w:p w:rsidR="00E43DEB" w:rsidRPr="00E43DEB" w:rsidRDefault="00E43DEB">
            <w:pPr>
              <w:pStyle w:val="Default"/>
              <w:rPr>
                <w:szCs w:val="18"/>
              </w:rPr>
            </w:pPr>
            <w:r w:rsidRPr="00E43DEB">
              <w:rPr>
                <w:b/>
                <w:bCs/>
                <w:szCs w:val="18"/>
              </w:rPr>
              <w:t xml:space="preserve">Завдання </w:t>
            </w:r>
          </w:p>
        </w:tc>
        <w:tc>
          <w:tcPr>
            <w:tcW w:w="2410" w:type="dxa"/>
          </w:tcPr>
          <w:p w:rsidR="00E43DEB" w:rsidRPr="00E43DEB" w:rsidRDefault="00E43DEB">
            <w:pPr>
              <w:pStyle w:val="Default"/>
              <w:rPr>
                <w:szCs w:val="18"/>
              </w:rPr>
            </w:pPr>
            <w:r w:rsidRPr="00E43DEB">
              <w:rPr>
                <w:b/>
                <w:bCs/>
                <w:szCs w:val="18"/>
              </w:rPr>
              <w:t xml:space="preserve">Методи реалізації </w:t>
            </w:r>
          </w:p>
        </w:tc>
        <w:tc>
          <w:tcPr>
            <w:tcW w:w="3226" w:type="dxa"/>
          </w:tcPr>
          <w:p w:rsidR="00E43DEB" w:rsidRPr="00E43DEB" w:rsidRDefault="00E43DEB">
            <w:pPr>
              <w:pStyle w:val="Default"/>
              <w:rPr>
                <w:szCs w:val="18"/>
              </w:rPr>
            </w:pPr>
            <w:r w:rsidRPr="00E43DEB">
              <w:rPr>
                <w:b/>
                <w:bCs/>
                <w:szCs w:val="18"/>
              </w:rPr>
              <w:t xml:space="preserve">Очікувані результати </w:t>
            </w:r>
          </w:p>
        </w:tc>
      </w:tr>
      <w:tr w:rsidR="00E43DEB" w:rsidTr="00E43DEB">
        <w:tblPrEx>
          <w:tblCellMar>
            <w:top w:w="0" w:type="dxa"/>
            <w:bottom w:w="0" w:type="dxa"/>
          </w:tblCellMar>
        </w:tblPrEx>
        <w:trPr>
          <w:trHeight w:val="289"/>
        </w:trPr>
        <w:tc>
          <w:tcPr>
            <w:tcW w:w="2410" w:type="dxa"/>
          </w:tcPr>
          <w:p w:rsidR="00E43DEB" w:rsidRPr="00E43DEB" w:rsidRDefault="00E43DEB">
            <w:pPr>
              <w:pStyle w:val="Default"/>
              <w:rPr>
                <w:szCs w:val="18"/>
              </w:rPr>
            </w:pPr>
            <w:r w:rsidRPr="00E43DEB">
              <w:rPr>
                <w:szCs w:val="18"/>
              </w:rPr>
              <w:t xml:space="preserve">Робота з аудиторією спонсорів </w:t>
            </w:r>
          </w:p>
        </w:tc>
        <w:tc>
          <w:tcPr>
            <w:tcW w:w="2410" w:type="dxa"/>
          </w:tcPr>
          <w:p w:rsidR="00E43DEB" w:rsidRPr="00E43DEB" w:rsidRDefault="00E43DEB">
            <w:pPr>
              <w:pStyle w:val="Default"/>
              <w:rPr>
                <w:szCs w:val="18"/>
              </w:rPr>
            </w:pPr>
            <w:r w:rsidRPr="00E43DEB">
              <w:rPr>
                <w:szCs w:val="18"/>
              </w:rPr>
              <w:t xml:space="preserve">Формування довготривалих партнерських відносин </w:t>
            </w:r>
          </w:p>
        </w:tc>
        <w:tc>
          <w:tcPr>
            <w:tcW w:w="2410" w:type="dxa"/>
          </w:tcPr>
          <w:p w:rsidR="00E43DEB" w:rsidRPr="00E43DEB" w:rsidRDefault="00E43DEB">
            <w:pPr>
              <w:pStyle w:val="Default"/>
              <w:rPr>
                <w:szCs w:val="18"/>
              </w:rPr>
            </w:pPr>
            <w:r w:rsidRPr="00E43DEB">
              <w:rPr>
                <w:szCs w:val="18"/>
              </w:rPr>
              <w:t xml:space="preserve">Встановлення контактів, маркетинг відносин, виконання обіцянок, персоналізований підхід </w:t>
            </w:r>
          </w:p>
        </w:tc>
        <w:tc>
          <w:tcPr>
            <w:tcW w:w="3226" w:type="dxa"/>
          </w:tcPr>
          <w:p w:rsidR="00E43DEB" w:rsidRPr="00E43DEB" w:rsidRDefault="00E43DEB">
            <w:pPr>
              <w:pStyle w:val="Default"/>
              <w:rPr>
                <w:szCs w:val="18"/>
              </w:rPr>
            </w:pPr>
            <w:r w:rsidRPr="00E43DEB">
              <w:rPr>
                <w:szCs w:val="18"/>
              </w:rPr>
              <w:t xml:space="preserve">Лояльність, довіра, стабільність фінансової підтримки </w:t>
            </w:r>
          </w:p>
        </w:tc>
      </w:tr>
      <w:tr w:rsidR="00E43DEB" w:rsidTr="00E43DEB">
        <w:tblPrEx>
          <w:tblCellMar>
            <w:top w:w="0" w:type="dxa"/>
            <w:bottom w:w="0" w:type="dxa"/>
          </w:tblCellMar>
        </w:tblPrEx>
        <w:trPr>
          <w:trHeight w:val="288"/>
        </w:trPr>
        <w:tc>
          <w:tcPr>
            <w:tcW w:w="2410" w:type="dxa"/>
          </w:tcPr>
          <w:p w:rsidR="00E43DEB" w:rsidRPr="00E43DEB" w:rsidRDefault="00E43DEB">
            <w:pPr>
              <w:pStyle w:val="Default"/>
              <w:rPr>
                <w:szCs w:val="18"/>
              </w:rPr>
            </w:pPr>
            <w:r w:rsidRPr="00E43DEB">
              <w:rPr>
                <w:szCs w:val="18"/>
              </w:rPr>
              <w:t xml:space="preserve">Реклама </w:t>
            </w:r>
          </w:p>
        </w:tc>
        <w:tc>
          <w:tcPr>
            <w:tcW w:w="2410" w:type="dxa"/>
          </w:tcPr>
          <w:p w:rsidR="00E43DEB" w:rsidRPr="00E43DEB" w:rsidRDefault="00E43DEB">
            <w:pPr>
              <w:pStyle w:val="Default"/>
              <w:rPr>
                <w:szCs w:val="18"/>
              </w:rPr>
            </w:pPr>
            <w:r w:rsidRPr="00E43DEB">
              <w:rPr>
                <w:szCs w:val="18"/>
              </w:rPr>
              <w:t xml:space="preserve">Інформування та формування позитивного іміджу </w:t>
            </w:r>
          </w:p>
        </w:tc>
        <w:tc>
          <w:tcPr>
            <w:tcW w:w="2410" w:type="dxa"/>
          </w:tcPr>
          <w:p w:rsidR="00E43DEB" w:rsidRPr="00E43DEB" w:rsidRDefault="00E43DEB">
            <w:pPr>
              <w:pStyle w:val="Default"/>
              <w:rPr>
                <w:szCs w:val="18"/>
              </w:rPr>
            </w:pPr>
            <w:r w:rsidRPr="00E43DEB">
              <w:rPr>
                <w:szCs w:val="18"/>
              </w:rPr>
              <w:t xml:space="preserve">Медійна реклама (ТВ, діджитал, зовнішня), брендінг, поліграфія </w:t>
            </w:r>
          </w:p>
        </w:tc>
        <w:tc>
          <w:tcPr>
            <w:tcW w:w="3226" w:type="dxa"/>
          </w:tcPr>
          <w:p w:rsidR="00E43DEB" w:rsidRPr="00E43DEB" w:rsidRDefault="00E43DEB">
            <w:pPr>
              <w:pStyle w:val="Default"/>
              <w:rPr>
                <w:szCs w:val="18"/>
              </w:rPr>
            </w:pPr>
            <w:r w:rsidRPr="00E43DEB">
              <w:rPr>
                <w:szCs w:val="18"/>
              </w:rPr>
              <w:t xml:space="preserve">Збільшення охоплення аудиторії, підвищення впізнаваності бренду </w:t>
            </w:r>
          </w:p>
        </w:tc>
      </w:tr>
      <w:tr w:rsidR="00E43DEB" w:rsidTr="00E43DEB">
        <w:tblPrEx>
          <w:tblCellMar>
            <w:top w:w="0" w:type="dxa"/>
            <w:bottom w:w="0" w:type="dxa"/>
          </w:tblCellMar>
        </w:tblPrEx>
        <w:trPr>
          <w:trHeight w:val="289"/>
        </w:trPr>
        <w:tc>
          <w:tcPr>
            <w:tcW w:w="2410" w:type="dxa"/>
          </w:tcPr>
          <w:p w:rsidR="00E43DEB" w:rsidRPr="00E43DEB" w:rsidRDefault="00E43DEB">
            <w:pPr>
              <w:pStyle w:val="Default"/>
              <w:rPr>
                <w:szCs w:val="18"/>
              </w:rPr>
            </w:pPr>
            <w:r w:rsidRPr="00E43DEB">
              <w:rPr>
                <w:szCs w:val="18"/>
              </w:rPr>
              <w:t xml:space="preserve">Пабліситі </w:t>
            </w:r>
          </w:p>
        </w:tc>
        <w:tc>
          <w:tcPr>
            <w:tcW w:w="2410" w:type="dxa"/>
          </w:tcPr>
          <w:p w:rsidR="00E43DEB" w:rsidRPr="00E43DEB" w:rsidRDefault="00E43DEB">
            <w:pPr>
              <w:pStyle w:val="Default"/>
              <w:rPr>
                <w:szCs w:val="18"/>
              </w:rPr>
            </w:pPr>
            <w:r w:rsidRPr="00E43DEB">
              <w:rPr>
                <w:szCs w:val="18"/>
              </w:rPr>
              <w:t xml:space="preserve">Управління репутацією, підтримка інформаційного поля </w:t>
            </w:r>
          </w:p>
        </w:tc>
        <w:tc>
          <w:tcPr>
            <w:tcW w:w="2410" w:type="dxa"/>
          </w:tcPr>
          <w:p w:rsidR="00E43DEB" w:rsidRPr="00E43DEB" w:rsidRDefault="00E43DEB">
            <w:pPr>
              <w:pStyle w:val="Default"/>
              <w:rPr>
                <w:szCs w:val="18"/>
              </w:rPr>
            </w:pPr>
            <w:r w:rsidRPr="00E43DEB">
              <w:rPr>
                <w:szCs w:val="18"/>
              </w:rPr>
              <w:t xml:space="preserve">Прес-релізи, спонсорські заставки, соціальні мережі, ЗМІ </w:t>
            </w:r>
          </w:p>
        </w:tc>
        <w:tc>
          <w:tcPr>
            <w:tcW w:w="3226" w:type="dxa"/>
          </w:tcPr>
          <w:p w:rsidR="00E43DEB" w:rsidRPr="00E43DEB" w:rsidRDefault="00E43DEB">
            <w:pPr>
              <w:pStyle w:val="Default"/>
              <w:rPr>
                <w:szCs w:val="18"/>
              </w:rPr>
            </w:pPr>
            <w:r w:rsidRPr="00E43DEB">
              <w:rPr>
                <w:szCs w:val="18"/>
              </w:rPr>
              <w:t xml:space="preserve">Позитивний імідж, збільшення довіри та підтримки громадськості </w:t>
            </w:r>
          </w:p>
        </w:tc>
      </w:tr>
      <w:tr w:rsidR="00E43DEB" w:rsidTr="00E43DEB">
        <w:tblPrEx>
          <w:tblCellMar>
            <w:top w:w="0" w:type="dxa"/>
            <w:bottom w:w="0" w:type="dxa"/>
          </w:tblCellMar>
        </w:tblPrEx>
        <w:trPr>
          <w:trHeight w:val="288"/>
        </w:trPr>
        <w:tc>
          <w:tcPr>
            <w:tcW w:w="2410" w:type="dxa"/>
          </w:tcPr>
          <w:p w:rsidR="00E43DEB" w:rsidRPr="00E43DEB" w:rsidRDefault="00E43DEB">
            <w:pPr>
              <w:pStyle w:val="Default"/>
              <w:rPr>
                <w:szCs w:val="18"/>
              </w:rPr>
            </w:pPr>
            <w:r w:rsidRPr="00E43DEB">
              <w:rPr>
                <w:szCs w:val="18"/>
              </w:rPr>
              <w:t xml:space="preserve">Особистий контакт </w:t>
            </w:r>
          </w:p>
        </w:tc>
        <w:tc>
          <w:tcPr>
            <w:tcW w:w="2410" w:type="dxa"/>
          </w:tcPr>
          <w:p w:rsidR="00E43DEB" w:rsidRPr="00E43DEB" w:rsidRDefault="00E43DEB">
            <w:pPr>
              <w:pStyle w:val="Default"/>
              <w:rPr>
                <w:szCs w:val="18"/>
              </w:rPr>
            </w:pPr>
            <w:r w:rsidRPr="00E43DEB">
              <w:rPr>
                <w:szCs w:val="18"/>
              </w:rPr>
              <w:t xml:space="preserve">Поглиблення партнерства через особисті взаємодії </w:t>
            </w:r>
          </w:p>
        </w:tc>
        <w:tc>
          <w:tcPr>
            <w:tcW w:w="2410" w:type="dxa"/>
          </w:tcPr>
          <w:p w:rsidR="00E43DEB" w:rsidRPr="00E43DEB" w:rsidRDefault="00E43DEB">
            <w:pPr>
              <w:pStyle w:val="Default"/>
              <w:rPr>
                <w:szCs w:val="18"/>
              </w:rPr>
            </w:pPr>
            <w:r w:rsidRPr="00E43DEB">
              <w:rPr>
                <w:szCs w:val="18"/>
              </w:rPr>
              <w:t xml:space="preserve">Фінансові стимули, соціальний діалог, VIP-заходи </w:t>
            </w:r>
          </w:p>
        </w:tc>
        <w:tc>
          <w:tcPr>
            <w:tcW w:w="3226" w:type="dxa"/>
          </w:tcPr>
          <w:p w:rsidR="00E43DEB" w:rsidRPr="00E43DEB" w:rsidRDefault="00E43DEB">
            <w:pPr>
              <w:pStyle w:val="Default"/>
              <w:rPr>
                <w:szCs w:val="18"/>
              </w:rPr>
            </w:pPr>
            <w:r w:rsidRPr="00E43DEB">
              <w:rPr>
                <w:szCs w:val="18"/>
              </w:rPr>
              <w:t xml:space="preserve">Підвищення прихильності спонсорів, довготривала співпраця </w:t>
            </w:r>
          </w:p>
        </w:tc>
      </w:tr>
      <w:tr w:rsidR="00E43DEB" w:rsidTr="00E43DEB">
        <w:tblPrEx>
          <w:tblCellMar>
            <w:top w:w="0" w:type="dxa"/>
            <w:bottom w:w="0" w:type="dxa"/>
          </w:tblCellMar>
        </w:tblPrEx>
        <w:trPr>
          <w:trHeight w:val="185"/>
        </w:trPr>
        <w:tc>
          <w:tcPr>
            <w:tcW w:w="2410" w:type="dxa"/>
          </w:tcPr>
          <w:p w:rsidR="00E43DEB" w:rsidRPr="00E43DEB" w:rsidRDefault="00E43DEB">
            <w:pPr>
              <w:pStyle w:val="Default"/>
              <w:rPr>
                <w:szCs w:val="18"/>
              </w:rPr>
            </w:pPr>
            <w:r w:rsidRPr="00E43DEB">
              <w:rPr>
                <w:szCs w:val="18"/>
              </w:rPr>
              <w:t xml:space="preserve">Стимули </w:t>
            </w:r>
          </w:p>
        </w:tc>
        <w:tc>
          <w:tcPr>
            <w:tcW w:w="2410" w:type="dxa"/>
          </w:tcPr>
          <w:p w:rsidR="00E43DEB" w:rsidRPr="00E43DEB" w:rsidRDefault="00E43DEB">
            <w:pPr>
              <w:pStyle w:val="Default"/>
              <w:rPr>
                <w:szCs w:val="18"/>
              </w:rPr>
            </w:pPr>
            <w:r w:rsidRPr="00E43DEB">
              <w:rPr>
                <w:szCs w:val="18"/>
              </w:rPr>
              <w:t xml:space="preserve">Мотивація спонсорів та аудиторії </w:t>
            </w:r>
          </w:p>
        </w:tc>
        <w:tc>
          <w:tcPr>
            <w:tcW w:w="2410" w:type="dxa"/>
          </w:tcPr>
          <w:p w:rsidR="00E43DEB" w:rsidRPr="00E43DEB" w:rsidRDefault="00E43DEB">
            <w:pPr>
              <w:pStyle w:val="Default"/>
              <w:rPr>
                <w:szCs w:val="18"/>
              </w:rPr>
            </w:pPr>
            <w:r w:rsidRPr="00E43DEB">
              <w:rPr>
                <w:szCs w:val="18"/>
              </w:rPr>
              <w:t xml:space="preserve">Подарунки, призи, соціальні проекти </w:t>
            </w:r>
          </w:p>
        </w:tc>
        <w:tc>
          <w:tcPr>
            <w:tcW w:w="3226" w:type="dxa"/>
          </w:tcPr>
          <w:p w:rsidR="00E43DEB" w:rsidRPr="00E43DEB" w:rsidRDefault="00E43DEB">
            <w:pPr>
              <w:pStyle w:val="Default"/>
              <w:rPr>
                <w:szCs w:val="18"/>
              </w:rPr>
            </w:pPr>
            <w:r w:rsidRPr="00E43DEB">
              <w:rPr>
                <w:szCs w:val="18"/>
              </w:rPr>
              <w:t xml:space="preserve">Активізація участі, формування лояльності </w:t>
            </w:r>
          </w:p>
        </w:tc>
      </w:tr>
      <w:tr w:rsidR="00E43DEB" w:rsidTr="00E43DEB">
        <w:tblPrEx>
          <w:tblCellMar>
            <w:top w:w="0" w:type="dxa"/>
            <w:bottom w:w="0" w:type="dxa"/>
          </w:tblCellMar>
        </w:tblPrEx>
        <w:trPr>
          <w:trHeight w:val="289"/>
        </w:trPr>
        <w:tc>
          <w:tcPr>
            <w:tcW w:w="2410" w:type="dxa"/>
          </w:tcPr>
          <w:p w:rsidR="00E43DEB" w:rsidRPr="00E43DEB" w:rsidRDefault="00E43DEB">
            <w:pPr>
              <w:pStyle w:val="Default"/>
              <w:rPr>
                <w:szCs w:val="18"/>
              </w:rPr>
            </w:pPr>
            <w:r w:rsidRPr="00E43DEB">
              <w:rPr>
                <w:szCs w:val="18"/>
              </w:rPr>
              <w:t xml:space="preserve">Реклама на спортивних об’єктах </w:t>
            </w:r>
          </w:p>
        </w:tc>
        <w:tc>
          <w:tcPr>
            <w:tcW w:w="2410" w:type="dxa"/>
          </w:tcPr>
          <w:p w:rsidR="00E43DEB" w:rsidRPr="00E43DEB" w:rsidRDefault="00E43DEB">
            <w:pPr>
              <w:pStyle w:val="Default"/>
              <w:rPr>
                <w:szCs w:val="18"/>
              </w:rPr>
            </w:pPr>
            <w:r w:rsidRPr="00E43DEB">
              <w:rPr>
                <w:szCs w:val="18"/>
              </w:rPr>
              <w:t xml:space="preserve">Емоційний вплив на глядачів </w:t>
            </w:r>
          </w:p>
        </w:tc>
        <w:tc>
          <w:tcPr>
            <w:tcW w:w="2410" w:type="dxa"/>
          </w:tcPr>
          <w:p w:rsidR="00E43DEB" w:rsidRPr="00E43DEB" w:rsidRDefault="00E43DEB">
            <w:pPr>
              <w:pStyle w:val="Default"/>
              <w:rPr>
                <w:szCs w:val="18"/>
              </w:rPr>
            </w:pPr>
            <w:r w:rsidRPr="00E43DEB">
              <w:rPr>
                <w:szCs w:val="18"/>
              </w:rPr>
              <w:t xml:space="preserve">Брендування арени, нестандартні інсталяції, LED-борти </w:t>
            </w:r>
          </w:p>
        </w:tc>
        <w:tc>
          <w:tcPr>
            <w:tcW w:w="3226" w:type="dxa"/>
          </w:tcPr>
          <w:p w:rsidR="00E43DEB" w:rsidRPr="00E43DEB" w:rsidRDefault="00E43DEB">
            <w:pPr>
              <w:pStyle w:val="Default"/>
              <w:rPr>
                <w:szCs w:val="18"/>
              </w:rPr>
            </w:pPr>
            <w:r w:rsidRPr="00E43DEB">
              <w:rPr>
                <w:szCs w:val="18"/>
              </w:rPr>
              <w:t xml:space="preserve">Залучення уваги, збільшення впізнаваності бренду </w:t>
            </w:r>
          </w:p>
        </w:tc>
      </w:tr>
      <w:tr w:rsidR="00E43DEB" w:rsidTr="00E43DEB">
        <w:tblPrEx>
          <w:tblCellMar>
            <w:top w:w="0" w:type="dxa"/>
            <w:bottom w:w="0" w:type="dxa"/>
          </w:tblCellMar>
        </w:tblPrEx>
        <w:trPr>
          <w:trHeight w:val="185"/>
        </w:trPr>
        <w:tc>
          <w:tcPr>
            <w:tcW w:w="2410" w:type="dxa"/>
          </w:tcPr>
          <w:p w:rsidR="00E43DEB" w:rsidRPr="00E43DEB" w:rsidRDefault="00E43DEB">
            <w:pPr>
              <w:pStyle w:val="Default"/>
              <w:rPr>
                <w:szCs w:val="18"/>
              </w:rPr>
            </w:pPr>
            <w:r w:rsidRPr="00E43DEB">
              <w:rPr>
                <w:szCs w:val="18"/>
              </w:rPr>
              <w:t xml:space="preserve">Ліцензування </w:t>
            </w:r>
          </w:p>
        </w:tc>
        <w:tc>
          <w:tcPr>
            <w:tcW w:w="2410" w:type="dxa"/>
          </w:tcPr>
          <w:p w:rsidR="00E43DEB" w:rsidRDefault="00E43DEB">
            <w:pPr>
              <w:pStyle w:val="Default"/>
              <w:rPr>
                <w:szCs w:val="18"/>
              </w:rPr>
            </w:pPr>
            <w:r w:rsidRPr="00E43DEB">
              <w:rPr>
                <w:szCs w:val="18"/>
              </w:rPr>
              <w:t xml:space="preserve">Розширення використання брендів для маркетингу </w:t>
            </w:r>
          </w:p>
          <w:p w:rsidR="00E43DEB" w:rsidRPr="00E43DEB" w:rsidRDefault="00E43DEB">
            <w:pPr>
              <w:pStyle w:val="Default"/>
              <w:rPr>
                <w:szCs w:val="18"/>
              </w:rPr>
            </w:pPr>
          </w:p>
        </w:tc>
        <w:tc>
          <w:tcPr>
            <w:tcW w:w="2410" w:type="dxa"/>
          </w:tcPr>
          <w:p w:rsidR="00E43DEB" w:rsidRPr="00E43DEB" w:rsidRDefault="00E43DEB">
            <w:pPr>
              <w:pStyle w:val="Default"/>
              <w:rPr>
                <w:szCs w:val="18"/>
              </w:rPr>
            </w:pPr>
            <w:r w:rsidRPr="00E43DEB">
              <w:rPr>
                <w:szCs w:val="18"/>
              </w:rPr>
              <w:t xml:space="preserve">Мерчендайзинг, програми гостинності, квитки, оренда лож </w:t>
            </w:r>
          </w:p>
        </w:tc>
        <w:tc>
          <w:tcPr>
            <w:tcW w:w="3226" w:type="dxa"/>
          </w:tcPr>
          <w:p w:rsidR="00E43DEB" w:rsidRPr="00E43DEB" w:rsidRDefault="00E43DEB">
            <w:pPr>
              <w:pStyle w:val="Default"/>
              <w:rPr>
                <w:szCs w:val="18"/>
              </w:rPr>
            </w:pPr>
            <w:r w:rsidRPr="00E43DEB">
              <w:rPr>
                <w:szCs w:val="18"/>
              </w:rPr>
              <w:t xml:space="preserve">Збільшення доходів, зміцнення бренду </w:t>
            </w:r>
          </w:p>
        </w:tc>
      </w:tr>
      <w:tr w:rsidR="00E43DEB" w:rsidTr="00E43DEB">
        <w:tblPrEx>
          <w:tblCellMar>
            <w:top w:w="0" w:type="dxa"/>
            <w:bottom w:w="0" w:type="dxa"/>
          </w:tblCellMar>
        </w:tblPrEx>
        <w:trPr>
          <w:trHeight w:val="288"/>
        </w:trPr>
        <w:tc>
          <w:tcPr>
            <w:tcW w:w="2410" w:type="dxa"/>
          </w:tcPr>
          <w:p w:rsidR="00E43DEB" w:rsidRPr="00E43DEB" w:rsidRDefault="00E43DEB">
            <w:pPr>
              <w:pStyle w:val="Default"/>
              <w:rPr>
                <w:szCs w:val="18"/>
              </w:rPr>
            </w:pPr>
            <w:r w:rsidRPr="00E43DEB">
              <w:rPr>
                <w:szCs w:val="18"/>
              </w:rPr>
              <w:lastRenderedPageBreak/>
              <w:t xml:space="preserve">Фандрайзинг </w:t>
            </w:r>
          </w:p>
        </w:tc>
        <w:tc>
          <w:tcPr>
            <w:tcW w:w="2410" w:type="dxa"/>
          </w:tcPr>
          <w:p w:rsidR="00E43DEB" w:rsidRPr="00E43DEB" w:rsidRDefault="00E43DEB">
            <w:pPr>
              <w:pStyle w:val="Default"/>
              <w:rPr>
                <w:szCs w:val="18"/>
              </w:rPr>
            </w:pPr>
            <w:r w:rsidRPr="00E43DEB">
              <w:rPr>
                <w:szCs w:val="18"/>
              </w:rPr>
              <w:t xml:space="preserve">Залучення додаткових ресурсів </w:t>
            </w:r>
          </w:p>
        </w:tc>
        <w:tc>
          <w:tcPr>
            <w:tcW w:w="2410" w:type="dxa"/>
          </w:tcPr>
          <w:p w:rsidR="00E43DEB" w:rsidRPr="00E43DEB" w:rsidRDefault="00E43DEB">
            <w:pPr>
              <w:pStyle w:val="Default"/>
              <w:rPr>
                <w:szCs w:val="18"/>
              </w:rPr>
            </w:pPr>
            <w:r w:rsidRPr="00E43DEB">
              <w:rPr>
                <w:szCs w:val="18"/>
              </w:rPr>
              <w:t xml:space="preserve">Пошук партнерів, презентація проектів, переговори </w:t>
            </w:r>
          </w:p>
        </w:tc>
        <w:tc>
          <w:tcPr>
            <w:tcW w:w="3226" w:type="dxa"/>
          </w:tcPr>
          <w:p w:rsidR="00E43DEB" w:rsidRPr="00E43DEB" w:rsidRDefault="00E43DEB">
            <w:pPr>
              <w:pStyle w:val="Default"/>
              <w:rPr>
                <w:szCs w:val="18"/>
              </w:rPr>
            </w:pPr>
            <w:r w:rsidRPr="00E43DEB">
              <w:rPr>
                <w:szCs w:val="18"/>
              </w:rPr>
              <w:t xml:space="preserve">Залучення фінансів, розширення партнерської мережі </w:t>
            </w:r>
          </w:p>
        </w:tc>
      </w:tr>
    </w:tbl>
    <w:p w:rsidR="00E43DEB" w:rsidRDefault="00E43DEB" w:rsidP="00E43DEB">
      <w:pPr>
        <w:pStyle w:val="Default"/>
        <w:spacing w:line="360" w:lineRule="auto"/>
        <w:ind w:firstLine="709"/>
        <w:jc w:val="both"/>
        <w:rPr>
          <w:sz w:val="28"/>
          <w:szCs w:val="20"/>
          <w:lang w:val="uk-UA"/>
        </w:rPr>
      </w:pPr>
    </w:p>
    <w:p w:rsidR="00E43DEB" w:rsidRPr="00E43DEB" w:rsidRDefault="00E43DEB" w:rsidP="00E43DEB">
      <w:pPr>
        <w:pStyle w:val="Default"/>
        <w:spacing w:line="360" w:lineRule="auto"/>
        <w:ind w:firstLine="709"/>
        <w:jc w:val="both"/>
        <w:rPr>
          <w:sz w:val="28"/>
          <w:szCs w:val="20"/>
          <w:lang w:val="uk-UA"/>
        </w:rPr>
      </w:pPr>
      <w:r w:rsidRPr="00E43DEB">
        <w:rPr>
          <w:sz w:val="28"/>
          <w:szCs w:val="20"/>
          <w:lang w:val="uk-UA"/>
        </w:rPr>
        <w:t xml:space="preserve">Перший елемент моделі передбачає формування стійких, довготривалих відносин із потенційними та існуючими спонсорами. Базується він на концепції маркетингу відносин, яка акцентує увагу на виявленні прихованих і явних потреб спонсорів та задоволенні їх інтересів через партнерство, а не разове стимулювання. </w:t>
      </w:r>
    </w:p>
    <w:p w:rsidR="00E43DEB" w:rsidRPr="00E43DEB" w:rsidRDefault="00E43DEB" w:rsidP="00E43DEB">
      <w:pPr>
        <w:pStyle w:val="Default"/>
        <w:spacing w:line="360" w:lineRule="auto"/>
        <w:ind w:firstLine="709"/>
        <w:jc w:val="both"/>
        <w:rPr>
          <w:sz w:val="28"/>
          <w:szCs w:val="20"/>
          <w:lang w:val="uk-UA"/>
        </w:rPr>
      </w:pPr>
      <w:r w:rsidRPr="00E43DEB">
        <w:rPr>
          <w:sz w:val="28"/>
          <w:szCs w:val="20"/>
          <w:lang w:val="uk-UA"/>
        </w:rPr>
        <w:t xml:space="preserve">У процесі комунікації необхідно встановити безпосередній контакт зі спонсорами, створити умови для їх лояльності та прихильності до спортсменів, спортивних організацій чи видів спорту. Лояльність у цьому випадку формується завдяки увазі, яку отримує спонсор, і виконанню обіцянок, що підвищує довіру. Особливу роль відіграють такі фактори, як традиції, емоційне залучення та імідж. Якщо спонсор відчуває себе частиною спортивної спільноти і бачить перспективу довгострокового співробітництва, він більш схильний підтримувати проекти. Невиконання обіцянок або ігнорування потреб спонсорів призводить до втрати їх інтересу, тому взаємна відповідальність і прозорість є ключовими аспектами в цьому елементі. Реклама – це основний інструмент поширення інформації про спонсорів і їх продукти серед широкої аудиторії. Вона дозволяє: </w:t>
      </w:r>
    </w:p>
    <w:p w:rsidR="00E43DEB" w:rsidRPr="00E43DEB" w:rsidRDefault="00E43DEB" w:rsidP="00E43DEB">
      <w:pPr>
        <w:pStyle w:val="Default"/>
        <w:numPr>
          <w:ilvl w:val="0"/>
          <w:numId w:val="1"/>
        </w:numPr>
        <w:spacing w:after="33" w:line="360" w:lineRule="auto"/>
        <w:ind w:firstLine="709"/>
        <w:jc w:val="both"/>
        <w:rPr>
          <w:sz w:val="28"/>
          <w:szCs w:val="20"/>
          <w:lang w:val="uk-UA"/>
        </w:rPr>
      </w:pPr>
      <w:r w:rsidRPr="00E43DEB">
        <w:rPr>
          <w:sz w:val="28"/>
          <w:szCs w:val="20"/>
          <w:lang w:val="uk-UA"/>
        </w:rPr>
        <w:t xml:space="preserve">Охопити велику кількість потенційних уболівальників і глядачів. </w:t>
      </w:r>
    </w:p>
    <w:p w:rsidR="00E43DEB" w:rsidRPr="00E43DEB" w:rsidRDefault="00E43DEB" w:rsidP="00E43DEB">
      <w:pPr>
        <w:pStyle w:val="Default"/>
        <w:numPr>
          <w:ilvl w:val="0"/>
          <w:numId w:val="1"/>
        </w:numPr>
        <w:spacing w:after="33" w:line="360" w:lineRule="auto"/>
        <w:ind w:firstLine="709"/>
        <w:jc w:val="both"/>
        <w:rPr>
          <w:sz w:val="28"/>
          <w:szCs w:val="20"/>
          <w:lang w:val="uk-UA"/>
        </w:rPr>
      </w:pPr>
      <w:r w:rsidRPr="00E43DEB">
        <w:rPr>
          <w:sz w:val="28"/>
          <w:szCs w:val="20"/>
          <w:lang w:val="uk-UA"/>
        </w:rPr>
        <w:t xml:space="preserve">Позиціонувати спортивний продукт чи послугу. </w:t>
      </w:r>
    </w:p>
    <w:p w:rsidR="00E43DEB" w:rsidRPr="00E43DEB" w:rsidRDefault="00E43DEB" w:rsidP="00E43DEB">
      <w:pPr>
        <w:pStyle w:val="Default"/>
        <w:numPr>
          <w:ilvl w:val="0"/>
          <w:numId w:val="1"/>
        </w:numPr>
        <w:spacing w:after="33" w:line="360" w:lineRule="auto"/>
        <w:ind w:firstLine="709"/>
        <w:jc w:val="both"/>
        <w:rPr>
          <w:sz w:val="28"/>
          <w:szCs w:val="20"/>
          <w:lang w:val="uk-UA"/>
        </w:rPr>
      </w:pPr>
      <w:r w:rsidRPr="00E43DEB">
        <w:rPr>
          <w:sz w:val="28"/>
          <w:szCs w:val="20"/>
          <w:lang w:val="uk-UA"/>
        </w:rPr>
        <w:t xml:space="preserve">Формувати позитивний імідж і гудвіл. </w:t>
      </w:r>
    </w:p>
    <w:p w:rsidR="00E43DEB" w:rsidRPr="00E43DEB" w:rsidRDefault="00E43DEB" w:rsidP="00E43DEB">
      <w:pPr>
        <w:pStyle w:val="Default"/>
        <w:numPr>
          <w:ilvl w:val="0"/>
          <w:numId w:val="1"/>
        </w:numPr>
        <w:spacing w:line="360" w:lineRule="auto"/>
        <w:ind w:firstLine="709"/>
        <w:jc w:val="both"/>
        <w:rPr>
          <w:sz w:val="28"/>
          <w:szCs w:val="20"/>
          <w:lang w:val="uk-UA"/>
        </w:rPr>
      </w:pPr>
      <w:r w:rsidRPr="00E43DEB">
        <w:rPr>
          <w:sz w:val="28"/>
          <w:szCs w:val="20"/>
          <w:lang w:val="uk-UA"/>
        </w:rPr>
        <w:t xml:space="preserve">Впливати на уподобання та поведінку споживачів. </w:t>
      </w:r>
    </w:p>
    <w:p w:rsidR="00C64A24" w:rsidRPr="00E43DEB" w:rsidRDefault="00E43DEB" w:rsidP="00E43DEB">
      <w:pPr>
        <w:spacing w:after="0" w:line="360" w:lineRule="auto"/>
        <w:ind w:firstLine="709"/>
        <w:jc w:val="both"/>
        <w:rPr>
          <w:rFonts w:ascii="Times New Roman" w:hAnsi="Times New Roman" w:cs="Times New Roman"/>
          <w:sz w:val="28"/>
          <w:szCs w:val="28"/>
          <w:lang w:val="uk-UA"/>
        </w:rPr>
      </w:pPr>
      <w:r w:rsidRPr="00E43DEB">
        <w:rPr>
          <w:rFonts w:ascii="Times New Roman" w:hAnsi="Times New Roman" w:cs="Times New Roman"/>
          <w:sz w:val="28"/>
          <w:szCs w:val="20"/>
          <w:lang w:val="uk-UA"/>
        </w:rPr>
        <w:t xml:space="preserve">Сучасні технології медіа відкривають широкі можливості для реклами: діджитал, соціальні мережі, брендінг у спортивних трансляціях, зовнішня та внутрішня </w:t>
      </w:r>
      <w:r w:rsidRPr="00E43DEB">
        <w:rPr>
          <w:rFonts w:ascii="Times New Roman" w:hAnsi="Times New Roman" w:cs="Times New Roman"/>
          <w:sz w:val="28"/>
          <w:szCs w:val="28"/>
          <w:lang w:val="uk-UA"/>
        </w:rPr>
        <w:t>реклама, поліграфія тощо.</w:t>
      </w:r>
    </w:p>
    <w:p w:rsidR="00E43DEB" w:rsidRPr="00E43DEB" w:rsidRDefault="00E43DEB" w:rsidP="00E43DEB">
      <w:pPr>
        <w:pStyle w:val="Default"/>
        <w:spacing w:line="360" w:lineRule="auto"/>
        <w:ind w:firstLine="709"/>
        <w:jc w:val="both"/>
        <w:rPr>
          <w:sz w:val="28"/>
          <w:szCs w:val="28"/>
          <w:lang w:val="uk-UA"/>
        </w:rPr>
      </w:pPr>
      <w:r w:rsidRPr="00E43DEB">
        <w:rPr>
          <w:sz w:val="28"/>
          <w:szCs w:val="28"/>
          <w:lang w:val="uk-UA"/>
        </w:rPr>
        <w:t xml:space="preserve">Водночас висока вартість рекламних кампаній є суттєвим бар’єром для бюджетних організацій і малого бізнесу. Тому в менеджменті неолімпійських видів спорту важливо планувати рекламу з урахуванням ефективності, співвідношення ціна/якість, а також поєднувати її з іншими елементами моделі для посилення ефекту. Пабліситі є потужним засобом впливу на інформаційний простір. Через пабліситі можна формувати позитивний імідж спортивної організації або події, впливати на </w:t>
      </w:r>
      <w:r w:rsidRPr="00E43DEB">
        <w:rPr>
          <w:sz w:val="28"/>
          <w:szCs w:val="28"/>
          <w:lang w:val="uk-UA"/>
        </w:rPr>
        <w:lastRenderedPageBreak/>
        <w:t xml:space="preserve">ставлення громадськості до спонсорів. Приклади застосування пабліситі у неолімпійських видах єдиноборств: </w:t>
      </w:r>
    </w:p>
    <w:p w:rsidR="00E43DEB" w:rsidRPr="00E43DEB" w:rsidRDefault="00E43DEB" w:rsidP="00E43DEB">
      <w:pPr>
        <w:pStyle w:val="Default"/>
        <w:spacing w:line="360" w:lineRule="auto"/>
        <w:ind w:firstLine="709"/>
        <w:jc w:val="both"/>
        <w:rPr>
          <w:sz w:val="28"/>
          <w:szCs w:val="28"/>
          <w:lang w:val="uk-UA"/>
        </w:rPr>
      </w:pPr>
      <w:r w:rsidRPr="00E43DEB">
        <w:rPr>
          <w:sz w:val="28"/>
          <w:szCs w:val="28"/>
          <w:lang w:val="uk-UA"/>
        </w:rPr>
        <w:t xml:space="preserve"> Спонсорські заставки і рекламні ролики в телетрансляціях. </w:t>
      </w:r>
    </w:p>
    <w:p w:rsidR="00E43DEB" w:rsidRPr="00E43DEB" w:rsidRDefault="00E43DEB" w:rsidP="00E43DEB">
      <w:pPr>
        <w:pStyle w:val="Default"/>
        <w:spacing w:line="360" w:lineRule="auto"/>
        <w:ind w:firstLine="709"/>
        <w:jc w:val="both"/>
        <w:rPr>
          <w:sz w:val="28"/>
          <w:szCs w:val="28"/>
          <w:lang w:val="uk-UA"/>
        </w:rPr>
      </w:pPr>
      <w:r w:rsidRPr="00E43DEB">
        <w:rPr>
          <w:sz w:val="28"/>
          <w:szCs w:val="28"/>
          <w:lang w:val="uk-UA"/>
        </w:rPr>
        <w:t xml:space="preserve"> Розміщення анімаційних логотипів і інтеграція в ТВ-графіку (3D-анімація, динамічні логотипи). </w:t>
      </w:r>
    </w:p>
    <w:p w:rsidR="00E43DEB" w:rsidRPr="00E43DEB" w:rsidRDefault="00E43DEB" w:rsidP="00E43DEB">
      <w:pPr>
        <w:pStyle w:val="Default"/>
        <w:spacing w:line="360" w:lineRule="auto"/>
        <w:ind w:firstLine="709"/>
        <w:jc w:val="both"/>
        <w:rPr>
          <w:sz w:val="28"/>
          <w:szCs w:val="28"/>
          <w:lang w:val="uk-UA"/>
        </w:rPr>
      </w:pPr>
      <w:r w:rsidRPr="00E43DEB">
        <w:rPr>
          <w:sz w:val="28"/>
          <w:szCs w:val="28"/>
          <w:lang w:val="uk-UA"/>
        </w:rPr>
        <w:t xml:space="preserve"> Згадування брендів під час коментарів або анонсів. </w:t>
      </w:r>
    </w:p>
    <w:p w:rsidR="00E43DEB" w:rsidRPr="00E43DEB" w:rsidRDefault="00E43DEB" w:rsidP="00E43DEB">
      <w:pPr>
        <w:pStyle w:val="Default"/>
        <w:spacing w:line="360" w:lineRule="auto"/>
        <w:ind w:firstLine="709"/>
        <w:jc w:val="both"/>
        <w:rPr>
          <w:sz w:val="28"/>
          <w:szCs w:val="28"/>
          <w:lang w:val="uk-UA"/>
        </w:rPr>
      </w:pPr>
      <w:r w:rsidRPr="00E43DEB">
        <w:rPr>
          <w:sz w:val="28"/>
          <w:szCs w:val="28"/>
          <w:lang w:val="uk-UA"/>
        </w:rPr>
        <w:t xml:space="preserve"> Публікації в друкованих і електронних ЗМІ. </w:t>
      </w:r>
    </w:p>
    <w:p w:rsidR="00E43DEB" w:rsidRPr="00E43DEB" w:rsidRDefault="00E43DEB" w:rsidP="00E43DEB">
      <w:pPr>
        <w:pStyle w:val="Default"/>
        <w:spacing w:line="360" w:lineRule="auto"/>
        <w:ind w:firstLine="709"/>
        <w:jc w:val="both"/>
        <w:rPr>
          <w:sz w:val="28"/>
          <w:szCs w:val="28"/>
          <w:lang w:val="uk-UA"/>
        </w:rPr>
      </w:pPr>
      <w:r w:rsidRPr="00E43DEB">
        <w:rPr>
          <w:sz w:val="28"/>
          <w:szCs w:val="28"/>
          <w:lang w:val="uk-UA"/>
        </w:rPr>
        <w:t xml:space="preserve"> Ведення офіційних груп і подій у соціальних мережах. </w:t>
      </w:r>
    </w:p>
    <w:p w:rsidR="00E43DEB" w:rsidRPr="00E43DEB" w:rsidRDefault="00E43DEB" w:rsidP="00E43DEB">
      <w:pPr>
        <w:pStyle w:val="Default"/>
        <w:spacing w:line="360" w:lineRule="auto"/>
        <w:ind w:firstLine="709"/>
        <w:jc w:val="both"/>
        <w:rPr>
          <w:sz w:val="28"/>
          <w:szCs w:val="28"/>
          <w:lang w:val="uk-UA"/>
        </w:rPr>
      </w:pPr>
    </w:p>
    <w:p w:rsidR="00E43DEB" w:rsidRPr="00E43DEB" w:rsidRDefault="00E43DEB" w:rsidP="00E43DEB">
      <w:pPr>
        <w:pStyle w:val="Default"/>
        <w:spacing w:line="360" w:lineRule="auto"/>
        <w:ind w:firstLine="709"/>
        <w:jc w:val="both"/>
        <w:rPr>
          <w:sz w:val="28"/>
          <w:szCs w:val="28"/>
          <w:lang w:val="uk-UA"/>
        </w:rPr>
      </w:pPr>
      <w:r w:rsidRPr="00E43DEB">
        <w:rPr>
          <w:sz w:val="28"/>
          <w:szCs w:val="28"/>
          <w:lang w:val="uk-UA"/>
        </w:rPr>
        <w:t xml:space="preserve">Пабліситі вимагає регулярної підтримки контактів із засобами масової інформації, надання достовірної, актуальної інформації, особливо в період проведення спортивних заходів. Важливо враховувати, що для частини аудиторії локальні ЗМІ досі є головним джерелом інформації. Особистий контакт у спорті розглядається ширше, ніж класичні «особисті продажі». Це системний процес налагодження і підтримки взаємин зі спонсорами, що включає: </w:t>
      </w:r>
    </w:p>
    <w:p w:rsidR="00E43DEB" w:rsidRPr="00E43DEB" w:rsidRDefault="00E43DEB" w:rsidP="00E43DEB">
      <w:pPr>
        <w:pStyle w:val="Default"/>
        <w:spacing w:line="360" w:lineRule="auto"/>
        <w:ind w:firstLine="709"/>
        <w:jc w:val="both"/>
        <w:rPr>
          <w:sz w:val="28"/>
          <w:szCs w:val="28"/>
          <w:lang w:val="uk-UA"/>
        </w:rPr>
      </w:pPr>
      <w:r w:rsidRPr="00E43DEB">
        <w:rPr>
          <w:sz w:val="28"/>
          <w:szCs w:val="28"/>
          <w:lang w:val="uk-UA"/>
        </w:rPr>
        <w:t xml:space="preserve"> </w:t>
      </w:r>
      <w:r w:rsidRPr="00E43DEB">
        <w:rPr>
          <w:b/>
          <w:bCs/>
          <w:sz w:val="28"/>
          <w:szCs w:val="28"/>
          <w:lang w:val="uk-UA"/>
        </w:rPr>
        <w:t xml:space="preserve">Фінансовий рівень </w:t>
      </w:r>
      <w:r w:rsidRPr="00E43DEB">
        <w:rPr>
          <w:sz w:val="28"/>
          <w:szCs w:val="28"/>
          <w:lang w:val="uk-UA"/>
        </w:rPr>
        <w:t xml:space="preserve">– використання знижок, бонусів, безкоштовної участі співробітників спонсора в заходах. </w:t>
      </w:r>
    </w:p>
    <w:p w:rsidR="00E43DEB" w:rsidRPr="00E43DEB" w:rsidRDefault="00E43DEB" w:rsidP="00E43DEB">
      <w:pPr>
        <w:pStyle w:val="Default"/>
        <w:spacing w:line="360" w:lineRule="auto"/>
        <w:ind w:firstLine="709"/>
        <w:jc w:val="both"/>
        <w:rPr>
          <w:sz w:val="28"/>
          <w:szCs w:val="28"/>
          <w:lang w:val="uk-UA"/>
        </w:rPr>
      </w:pPr>
      <w:r w:rsidRPr="00E43DEB">
        <w:rPr>
          <w:sz w:val="28"/>
          <w:szCs w:val="28"/>
          <w:lang w:val="uk-UA"/>
        </w:rPr>
        <w:t xml:space="preserve"> </w:t>
      </w:r>
      <w:r w:rsidRPr="00E43DEB">
        <w:rPr>
          <w:b/>
          <w:bCs/>
          <w:sz w:val="28"/>
          <w:szCs w:val="28"/>
          <w:lang w:val="uk-UA"/>
        </w:rPr>
        <w:t xml:space="preserve">Соціальний рівень </w:t>
      </w:r>
      <w:r w:rsidRPr="00E43DEB">
        <w:rPr>
          <w:sz w:val="28"/>
          <w:szCs w:val="28"/>
          <w:lang w:val="uk-UA"/>
        </w:rPr>
        <w:t xml:space="preserve">– ведення діалогу, врахування побажань, привітання зі святами, отримання зворотного зв’язку. </w:t>
      </w:r>
    </w:p>
    <w:p w:rsidR="00E43DEB" w:rsidRPr="00E43DEB" w:rsidRDefault="00E43DEB" w:rsidP="00E43DEB">
      <w:pPr>
        <w:pStyle w:val="Default"/>
        <w:spacing w:line="360" w:lineRule="auto"/>
        <w:ind w:firstLine="709"/>
        <w:jc w:val="both"/>
        <w:rPr>
          <w:sz w:val="28"/>
          <w:szCs w:val="28"/>
          <w:lang w:val="uk-UA"/>
        </w:rPr>
      </w:pPr>
      <w:r w:rsidRPr="00E43DEB">
        <w:rPr>
          <w:sz w:val="28"/>
          <w:szCs w:val="28"/>
          <w:lang w:val="uk-UA"/>
        </w:rPr>
        <w:t xml:space="preserve"> </w:t>
      </w:r>
      <w:r w:rsidRPr="00E43DEB">
        <w:rPr>
          <w:b/>
          <w:bCs/>
          <w:sz w:val="28"/>
          <w:szCs w:val="28"/>
          <w:lang w:val="uk-UA"/>
        </w:rPr>
        <w:t xml:space="preserve">Структурний рівень </w:t>
      </w:r>
      <w:r w:rsidRPr="00E43DEB">
        <w:rPr>
          <w:sz w:val="28"/>
          <w:szCs w:val="28"/>
          <w:lang w:val="uk-UA"/>
        </w:rPr>
        <w:t xml:space="preserve">– ексклюзивні переваги: запрошення на автограф-сесії, участь у тренуваннях зі спортсменами, почесне членство. </w:t>
      </w:r>
    </w:p>
    <w:p w:rsidR="00E43DEB" w:rsidRPr="00E43DEB" w:rsidRDefault="00E43DEB" w:rsidP="00E43DEB">
      <w:pPr>
        <w:pStyle w:val="Default"/>
        <w:spacing w:line="360" w:lineRule="auto"/>
        <w:ind w:firstLine="709"/>
        <w:jc w:val="both"/>
        <w:rPr>
          <w:sz w:val="28"/>
          <w:szCs w:val="28"/>
          <w:lang w:val="uk-UA"/>
        </w:rPr>
      </w:pPr>
    </w:p>
    <w:p w:rsidR="00E43DEB" w:rsidRPr="00E43DEB" w:rsidRDefault="00E43DEB" w:rsidP="00E43DEB">
      <w:pPr>
        <w:pStyle w:val="Default"/>
        <w:spacing w:line="360" w:lineRule="auto"/>
        <w:ind w:firstLine="709"/>
        <w:jc w:val="both"/>
        <w:rPr>
          <w:sz w:val="28"/>
          <w:szCs w:val="28"/>
          <w:lang w:val="uk-UA"/>
        </w:rPr>
      </w:pPr>
      <w:r w:rsidRPr="00E43DEB">
        <w:rPr>
          <w:sz w:val="28"/>
          <w:szCs w:val="28"/>
          <w:lang w:val="uk-UA"/>
        </w:rPr>
        <w:t xml:space="preserve">Цей інструмент зміцнює довіру, стимулює прихильність і формує міцний фундамент для довгострокового партнерства. Стимулювання є важливим інструментом мотивації спонсорів та аудиторії. Вони можуть бути матеріальними (подарунки, призи, знижки) або нематеріальними (визнання, участь у заходах). Ключовою метою є не одноразова вигода, а формування стратегії довготривалих відносин, а також залучення молоді до спорту з соціальною метою. Важливо враховувати мотиви спонсорів і відповідати соціальним цінностям. Реклама безпосередньо на спортивних аренах має високий емоційний вплив і стимулює споживачів. До цієї категорії належать: </w:t>
      </w:r>
    </w:p>
    <w:p w:rsidR="00E43DEB" w:rsidRPr="00E43DEB" w:rsidRDefault="00E43DEB" w:rsidP="00E43DEB">
      <w:pPr>
        <w:pStyle w:val="Default"/>
        <w:numPr>
          <w:ilvl w:val="0"/>
          <w:numId w:val="1"/>
        </w:numPr>
        <w:spacing w:line="360" w:lineRule="auto"/>
        <w:ind w:left="0" w:firstLine="709"/>
        <w:jc w:val="both"/>
        <w:rPr>
          <w:sz w:val="28"/>
          <w:szCs w:val="28"/>
          <w:lang w:val="uk-UA"/>
        </w:rPr>
      </w:pPr>
      <w:r w:rsidRPr="00E43DEB">
        <w:rPr>
          <w:sz w:val="28"/>
          <w:szCs w:val="28"/>
          <w:lang w:val="uk-UA"/>
        </w:rPr>
        <w:lastRenderedPageBreak/>
        <w:t xml:space="preserve">Розміщення брендів на відеоекранах, LED-панелях, табло, банерах, прапорах. </w:t>
      </w:r>
    </w:p>
    <w:p w:rsidR="00E43DEB" w:rsidRPr="00E43DEB" w:rsidRDefault="00E43DEB" w:rsidP="00E43DEB">
      <w:pPr>
        <w:pStyle w:val="Default"/>
        <w:numPr>
          <w:ilvl w:val="0"/>
          <w:numId w:val="1"/>
        </w:numPr>
        <w:spacing w:line="360" w:lineRule="auto"/>
        <w:ind w:left="0" w:firstLine="709"/>
        <w:jc w:val="both"/>
        <w:rPr>
          <w:sz w:val="28"/>
          <w:szCs w:val="28"/>
          <w:lang w:val="uk-UA"/>
        </w:rPr>
      </w:pPr>
      <w:r w:rsidRPr="00E43DEB">
        <w:rPr>
          <w:sz w:val="28"/>
          <w:szCs w:val="28"/>
          <w:lang w:val="uk-UA"/>
        </w:rPr>
        <w:t xml:space="preserve">Оформлення VIP-зон, кафе, коридорів та інших приміщень спортивних об’єктів. </w:t>
      </w:r>
    </w:p>
    <w:p w:rsidR="00E43DEB" w:rsidRPr="00E43DEB" w:rsidRDefault="00E43DEB" w:rsidP="00E43DEB">
      <w:pPr>
        <w:pStyle w:val="Default"/>
        <w:numPr>
          <w:ilvl w:val="0"/>
          <w:numId w:val="1"/>
        </w:numPr>
        <w:spacing w:line="360" w:lineRule="auto"/>
        <w:ind w:left="0" w:firstLine="709"/>
        <w:jc w:val="both"/>
        <w:rPr>
          <w:sz w:val="28"/>
          <w:szCs w:val="28"/>
          <w:lang w:val="uk-UA"/>
        </w:rPr>
      </w:pPr>
      <w:r w:rsidRPr="00E43DEB">
        <w:rPr>
          <w:sz w:val="28"/>
          <w:szCs w:val="28"/>
          <w:lang w:val="uk-UA"/>
        </w:rPr>
        <w:t xml:space="preserve">Використання нестандартних інсталяцій: надувних фігур, арок, дирижаблів. </w:t>
      </w:r>
    </w:p>
    <w:p w:rsidR="00E43DEB" w:rsidRPr="00E43DEB" w:rsidRDefault="00E43DEB" w:rsidP="00E43DEB">
      <w:pPr>
        <w:pStyle w:val="Default"/>
        <w:spacing w:line="360" w:lineRule="auto"/>
        <w:ind w:firstLine="709"/>
        <w:jc w:val="both"/>
        <w:rPr>
          <w:sz w:val="28"/>
          <w:szCs w:val="28"/>
          <w:lang w:val="uk-UA"/>
        </w:rPr>
      </w:pPr>
      <w:r w:rsidRPr="00E43DEB">
        <w:rPr>
          <w:sz w:val="28"/>
          <w:szCs w:val="28"/>
          <w:lang w:val="uk-UA"/>
        </w:rPr>
        <w:t xml:space="preserve">Такі рекламні носії створюють унікальну атмосферу, що асоціюється зі спортивним заходом і викликає сильні емоції, які сприяють підвищенню впізнаваності брендів. Ліцензування охоплює право використання брендів спортивних організацій для виробництва сувенірної продукції та інших маркетингових активностей. Основні напрями: </w:t>
      </w:r>
    </w:p>
    <w:p w:rsidR="00E43DEB" w:rsidRPr="00E43DEB" w:rsidRDefault="00E43DEB" w:rsidP="00E43DEB">
      <w:pPr>
        <w:pStyle w:val="Default"/>
        <w:numPr>
          <w:ilvl w:val="0"/>
          <w:numId w:val="1"/>
        </w:numPr>
        <w:spacing w:line="360" w:lineRule="auto"/>
        <w:jc w:val="both"/>
        <w:rPr>
          <w:sz w:val="28"/>
          <w:szCs w:val="28"/>
          <w:lang w:val="uk-UA"/>
        </w:rPr>
      </w:pPr>
      <w:r w:rsidRPr="00E43DEB">
        <w:rPr>
          <w:sz w:val="28"/>
          <w:szCs w:val="28"/>
          <w:lang w:val="uk-UA"/>
        </w:rPr>
        <w:t xml:space="preserve">Програми гостинності (hospitality) – VIP-відвідування змагань із унікальними перевагами. </w:t>
      </w:r>
    </w:p>
    <w:p w:rsidR="00E43DEB" w:rsidRPr="00E43DEB" w:rsidRDefault="00E43DEB" w:rsidP="00E43DEB">
      <w:pPr>
        <w:pStyle w:val="Default"/>
        <w:numPr>
          <w:ilvl w:val="0"/>
          <w:numId w:val="1"/>
        </w:numPr>
        <w:spacing w:line="360" w:lineRule="auto"/>
        <w:jc w:val="both"/>
        <w:rPr>
          <w:sz w:val="28"/>
          <w:szCs w:val="28"/>
          <w:lang w:val="uk-UA"/>
        </w:rPr>
      </w:pPr>
      <w:r w:rsidRPr="00E43DEB">
        <w:rPr>
          <w:sz w:val="28"/>
          <w:szCs w:val="28"/>
          <w:lang w:val="uk-UA"/>
        </w:rPr>
        <w:t xml:space="preserve">Надання квитків для розіграшів і промоакцій. </w:t>
      </w:r>
    </w:p>
    <w:p w:rsidR="00E43DEB" w:rsidRPr="00E43DEB" w:rsidRDefault="00E43DEB" w:rsidP="00E43DEB">
      <w:pPr>
        <w:pStyle w:val="Default"/>
        <w:numPr>
          <w:ilvl w:val="0"/>
          <w:numId w:val="1"/>
        </w:numPr>
        <w:spacing w:line="360" w:lineRule="auto"/>
        <w:jc w:val="both"/>
        <w:rPr>
          <w:sz w:val="28"/>
          <w:szCs w:val="28"/>
          <w:lang w:val="uk-UA"/>
        </w:rPr>
      </w:pPr>
      <w:r w:rsidRPr="00E43DEB">
        <w:rPr>
          <w:sz w:val="28"/>
          <w:szCs w:val="28"/>
          <w:lang w:val="uk-UA"/>
        </w:rPr>
        <w:t xml:space="preserve">Оренда лож з можливістю ребрендингу. </w:t>
      </w:r>
    </w:p>
    <w:p w:rsidR="00E43DEB" w:rsidRPr="00E43DEB" w:rsidRDefault="00E43DEB" w:rsidP="00E43DEB">
      <w:pPr>
        <w:pStyle w:val="Default"/>
        <w:numPr>
          <w:ilvl w:val="0"/>
          <w:numId w:val="1"/>
        </w:numPr>
        <w:spacing w:line="360" w:lineRule="auto"/>
        <w:jc w:val="both"/>
        <w:rPr>
          <w:sz w:val="28"/>
          <w:szCs w:val="28"/>
          <w:lang w:val="uk-UA"/>
        </w:rPr>
      </w:pPr>
      <w:r w:rsidRPr="00E43DEB">
        <w:rPr>
          <w:sz w:val="28"/>
          <w:szCs w:val="28"/>
          <w:lang w:val="uk-UA"/>
        </w:rPr>
        <w:t xml:space="preserve">Виробництво мерчендайзингу: футболки з автографами, сувеніри, призи. </w:t>
      </w:r>
    </w:p>
    <w:p w:rsidR="00E43DEB" w:rsidRPr="00E43DEB" w:rsidRDefault="00E43DEB" w:rsidP="00E43DEB">
      <w:pPr>
        <w:pStyle w:val="Default"/>
        <w:numPr>
          <w:ilvl w:val="0"/>
          <w:numId w:val="1"/>
        </w:numPr>
        <w:spacing w:line="360" w:lineRule="auto"/>
        <w:jc w:val="both"/>
        <w:rPr>
          <w:sz w:val="28"/>
          <w:szCs w:val="28"/>
          <w:lang w:val="uk-UA"/>
        </w:rPr>
      </w:pPr>
      <w:r w:rsidRPr="00E43DEB">
        <w:rPr>
          <w:sz w:val="28"/>
          <w:szCs w:val="28"/>
          <w:lang w:val="uk-UA"/>
        </w:rPr>
        <w:t xml:space="preserve">Надання продукції спонсорів як призів учасникам. </w:t>
      </w:r>
    </w:p>
    <w:p w:rsidR="00E43DEB" w:rsidRDefault="00E43DEB" w:rsidP="00E43DEB">
      <w:pPr>
        <w:pStyle w:val="Default"/>
        <w:spacing w:line="360" w:lineRule="auto"/>
        <w:ind w:firstLine="709"/>
        <w:jc w:val="both"/>
        <w:rPr>
          <w:sz w:val="28"/>
          <w:szCs w:val="28"/>
          <w:lang w:val="uk-UA"/>
        </w:rPr>
      </w:pPr>
      <w:r w:rsidRPr="00E43DEB">
        <w:rPr>
          <w:sz w:val="28"/>
          <w:szCs w:val="28"/>
          <w:lang w:val="uk-UA"/>
        </w:rPr>
        <w:t xml:space="preserve">Цей елемент сприяє збільшенню впізнаваності і стимулює цільову аудиторію. </w:t>
      </w:r>
    </w:p>
    <w:p w:rsidR="00E43DEB" w:rsidRPr="00E43DEB" w:rsidRDefault="00E43DEB" w:rsidP="00E43DEB">
      <w:pPr>
        <w:pStyle w:val="Default"/>
        <w:spacing w:line="360" w:lineRule="auto"/>
        <w:ind w:firstLine="709"/>
        <w:jc w:val="both"/>
        <w:rPr>
          <w:sz w:val="28"/>
          <w:szCs w:val="28"/>
          <w:lang w:val="uk-UA"/>
        </w:rPr>
      </w:pPr>
      <w:r w:rsidRPr="00E43DEB">
        <w:rPr>
          <w:sz w:val="28"/>
          <w:szCs w:val="28"/>
          <w:lang w:val="uk-UA"/>
        </w:rPr>
        <w:t xml:space="preserve">Фандрайзинг – це систематичний процес залучення фінансових і матеріальних ресурсів для реалізації конкретних соціальних чи спортивних проєктів. Він включає: </w:t>
      </w:r>
    </w:p>
    <w:p w:rsidR="00E43DEB" w:rsidRPr="00E43DEB" w:rsidRDefault="00E43DEB" w:rsidP="00E43DEB">
      <w:pPr>
        <w:pStyle w:val="Default"/>
        <w:numPr>
          <w:ilvl w:val="0"/>
          <w:numId w:val="1"/>
        </w:numPr>
        <w:spacing w:line="360" w:lineRule="auto"/>
        <w:jc w:val="both"/>
        <w:rPr>
          <w:sz w:val="28"/>
          <w:szCs w:val="28"/>
          <w:lang w:val="uk-UA"/>
        </w:rPr>
      </w:pPr>
      <w:r w:rsidRPr="00E43DEB">
        <w:rPr>
          <w:sz w:val="28"/>
          <w:szCs w:val="28"/>
          <w:lang w:val="uk-UA"/>
        </w:rPr>
        <w:t xml:space="preserve">Пошук потенційних спонсорів і партнерів. </w:t>
      </w:r>
    </w:p>
    <w:p w:rsidR="00E43DEB" w:rsidRPr="00E43DEB" w:rsidRDefault="00E43DEB" w:rsidP="00E43DEB">
      <w:pPr>
        <w:pStyle w:val="Default"/>
        <w:numPr>
          <w:ilvl w:val="0"/>
          <w:numId w:val="1"/>
        </w:numPr>
        <w:spacing w:line="360" w:lineRule="auto"/>
        <w:jc w:val="both"/>
        <w:rPr>
          <w:sz w:val="28"/>
          <w:szCs w:val="28"/>
          <w:lang w:val="uk-UA"/>
        </w:rPr>
      </w:pPr>
      <w:r w:rsidRPr="00E43DEB">
        <w:rPr>
          <w:sz w:val="28"/>
          <w:szCs w:val="28"/>
          <w:lang w:val="uk-UA"/>
        </w:rPr>
        <w:t xml:space="preserve">Представлення проєктів. </w:t>
      </w:r>
    </w:p>
    <w:p w:rsidR="00E43DEB" w:rsidRPr="00E43DEB" w:rsidRDefault="00E43DEB" w:rsidP="00E43DEB">
      <w:pPr>
        <w:pStyle w:val="Default"/>
        <w:numPr>
          <w:ilvl w:val="0"/>
          <w:numId w:val="1"/>
        </w:numPr>
        <w:spacing w:after="33"/>
        <w:rPr>
          <w:sz w:val="28"/>
          <w:szCs w:val="28"/>
          <w:lang w:val="uk-UA"/>
        </w:rPr>
      </w:pPr>
      <w:r w:rsidRPr="00E43DEB">
        <w:rPr>
          <w:sz w:val="28"/>
          <w:szCs w:val="28"/>
          <w:lang w:val="uk-UA"/>
        </w:rPr>
        <w:t xml:space="preserve">Встановлення та підтримка зв’язків. </w:t>
      </w:r>
    </w:p>
    <w:p w:rsidR="00E43DEB" w:rsidRPr="00E43DEB" w:rsidRDefault="00E43DEB" w:rsidP="00E43DEB">
      <w:pPr>
        <w:pStyle w:val="Default"/>
        <w:numPr>
          <w:ilvl w:val="0"/>
          <w:numId w:val="1"/>
        </w:numPr>
        <w:spacing w:line="360" w:lineRule="auto"/>
        <w:rPr>
          <w:sz w:val="28"/>
          <w:szCs w:val="28"/>
          <w:lang w:val="uk-UA"/>
        </w:rPr>
      </w:pPr>
      <w:r w:rsidRPr="00E43DEB">
        <w:rPr>
          <w:sz w:val="28"/>
          <w:szCs w:val="28"/>
          <w:lang w:val="uk-UA"/>
        </w:rPr>
        <w:t xml:space="preserve">Переговори і втілення. </w:t>
      </w:r>
    </w:p>
    <w:p w:rsidR="00E43DEB" w:rsidRPr="00E43DEB" w:rsidRDefault="00E43DEB" w:rsidP="00E43DEB">
      <w:pPr>
        <w:pStyle w:val="Default"/>
        <w:spacing w:line="360" w:lineRule="auto"/>
        <w:ind w:firstLine="709"/>
        <w:jc w:val="both"/>
        <w:rPr>
          <w:sz w:val="28"/>
          <w:szCs w:val="20"/>
          <w:lang w:val="uk-UA"/>
        </w:rPr>
      </w:pPr>
      <w:r w:rsidRPr="00E43DEB">
        <w:rPr>
          <w:sz w:val="28"/>
          <w:szCs w:val="20"/>
          <w:lang w:val="uk-UA"/>
        </w:rPr>
        <w:t xml:space="preserve">Даний процес дозволяє не лише забезпечити фінансову підтримку, а й розширити коло партнерів, підвищити престиж і вплив спортивної організації. Взаємозв’язок основних елементів моделі SIMCM підчас здійснення спонсорської комунікації в неолімпійських видах спортивних єдиноборств представлена на рис.1. Для подальшого розвитку моделі SIMCM доцільно інтегрувати складові гуманістичної моделі маркетингу 4Е: етика, естетика, емоції та прихильність. Впровадження цих компонентів забезпечить: </w:t>
      </w:r>
    </w:p>
    <w:p w:rsidR="00E43DEB" w:rsidRPr="00E43DEB" w:rsidRDefault="00E43DEB" w:rsidP="00E43DEB">
      <w:pPr>
        <w:pStyle w:val="Default"/>
        <w:numPr>
          <w:ilvl w:val="0"/>
          <w:numId w:val="1"/>
        </w:numPr>
        <w:spacing w:after="31" w:line="360" w:lineRule="auto"/>
        <w:ind w:left="0" w:firstLine="709"/>
        <w:jc w:val="both"/>
        <w:rPr>
          <w:sz w:val="28"/>
          <w:szCs w:val="20"/>
          <w:lang w:val="uk-UA"/>
        </w:rPr>
      </w:pPr>
      <w:r w:rsidRPr="00E43DEB">
        <w:rPr>
          <w:b/>
          <w:bCs/>
          <w:sz w:val="28"/>
          <w:szCs w:val="20"/>
          <w:lang w:val="uk-UA"/>
        </w:rPr>
        <w:lastRenderedPageBreak/>
        <w:t xml:space="preserve">Етику </w:t>
      </w:r>
      <w:r w:rsidRPr="00E43DEB">
        <w:rPr>
          <w:sz w:val="28"/>
          <w:szCs w:val="20"/>
          <w:lang w:val="uk-UA"/>
        </w:rPr>
        <w:t xml:space="preserve">– соціальну відповідальність спонсорства, орієнтовану на загальний добробут суспільства. </w:t>
      </w:r>
    </w:p>
    <w:p w:rsidR="00E43DEB" w:rsidRPr="00E43DEB" w:rsidRDefault="00E43DEB" w:rsidP="00E43DEB">
      <w:pPr>
        <w:pStyle w:val="Default"/>
        <w:numPr>
          <w:ilvl w:val="0"/>
          <w:numId w:val="1"/>
        </w:numPr>
        <w:spacing w:after="31" w:line="360" w:lineRule="auto"/>
        <w:ind w:left="0" w:firstLine="709"/>
        <w:jc w:val="both"/>
        <w:rPr>
          <w:sz w:val="28"/>
          <w:szCs w:val="20"/>
          <w:lang w:val="uk-UA"/>
        </w:rPr>
      </w:pPr>
      <w:r w:rsidRPr="00E43DEB">
        <w:rPr>
          <w:b/>
          <w:bCs/>
          <w:sz w:val="28"/>
          <w:szCs w:val="20"/>
          <w:lang w:val="uk-UA"/>
        </w:rPr>
        <w:t xml:space="preserve">Естетику </w:t>
      </w:r>
      <w:r w:rsidRPr="00E43DEB">
        <w:rPr>
          <w:sz w:val="28"/>
          <w:szCs w:val="20"/>
          <w:lang w:val="uk-UA"/>
        </w:rPr>
        <w:t xml:space="preserve">– високий рівень візуального оформлення реклами та спортивних заходів, що сприяє емоційному залученню. </w:t>
      </w:r>
    </w:p>
    <w:p w:rsidR="00E43DEB" w:rsidRPr="00E43DEB" w:rsidRDefault="00E43DEB" w:rsidP="00E43DEB">
      <w:pPr>
        <w:pStyle w:val="Default"/>
        <w:numPr>
          <w:ilvl w:val="0"/>
          <w:numId w:val="1"/>
        </w:numPr>
        <w:spacing w:after="31" w:line="360" w:lineRule="auto"/>
        <w:ind w:left="0" w:firstLine="709"/>
        <w:jc w:val="both"/>
        <w:rPr>
          <w:sz w:val="28"/>
          <w:szCs w:val="20"/>
          <w:lang w:val="uk-UA"/>
        </w:rPr>
      </w:pPr>
      <w:r w:rsidRPr="00E43DEB">
        <w:rPr>
          <w:b/>
          <w:bCs/>
          <w:sz w:val="28"/>
          <w:szCs w:val="20"/>
          <w:lang w:val="uk-UA"/>
        </w:rPr>
        <w:t xml:space="preserve">Емоції </w:t>
      </w:r>
      <w:r w:rsidRPr="00E43DEB">
        <w:rPr>
          <w:sz w:val="28"/>
          <w:szCs w:val="20"/>
          <w:lang w:val="uk-UA"/>
        </w:rPr>
        <w:t xml:space="preserve">– посилення емоційного зв’язку аудиторії зі спортом і брендами спонсорів. </w:t>
      </w:r>
    </w:p>
    <w:p w:rsidR="00E43DEB" w:rsidRPr="00E43DEB" w:rsidRDefault="00E43DEB" w:rsidP="00E43DEB">
      <w:pPr>
        <w:pStyle w:val="Default"/>
        <w:numPr>
          <w:ilvl w:val="0"/>
          <w:numId w:val="1"/>
        </w:numPr>
        <w:spacing w:line="360" w:lineRule="auto"/>
        <w:ind w:left="0" w:firstLine="709"/>
        <w:jc w:val="both"/>
        <w:rPr>
          <w:sz w:val="28"/>
          <w:szCs w:val="20"/>
          <w:lang w:val="uk-UA"/>
        </w:rPr>
      </w:pPr>
      <w:r w:rsidRPr="00E43DEB">
        <w:rPr>
          <w:b/>
          <w:bCs/>
          <w:sz w:val="28"/>
          <w:szCs w:val="20"/>
          <w:lang w:val="uk-UA"/>
        </w:rPr>
        <w:t xml:space="preserve">Прихильність </w:t>
      </w:r>
      <w:r w:rsidRPr="00E43DEB">
        <w:rPr>
          <w:sz w:val="28"/>
          <w:szCs w:val="20"/>
          <w:lang w:val="uk-UA"/>
        </w:rPr>
        <w:t xml:space="preserve">– розвиток лояльності через системну роботу з аудиторією, комунікації та стимулювання. </w:t>
      </w:r>
    </w:p>
    <w:p w:rsidR="00E43DEB" w:rsidRDefault="00E43DEB" w:rsidP="00E43DEB">
      <w:pPr>
        <w:pStyle w:val="Default"/>
        <w:spacing w:line="360" w:lineRule="auto"/>
        <w:ind w:firstLine="709"/>
        <w:jc w:val="both"/>
        <w:rPr>
          <w:sz w:val="28"/>
          <w:szCs w:val="20"/>
          <w:lang w:val="uk-UA"/>
        </w:rPr>
      </w:pPr>
      <w:r w:rsidRPr="00E43DEB">
        <w:rPr>
          <w:sz w:val="28"/>
          <w:szCs w:val="20"/>
          <w:lang w:val="uk-UA"/>
        </w:rPr>
        <w:t>Це дасть змогу вийти на новий рівень соціального конструювання спортивного спонсорства і зробити його більш ефективним і стійким.</w:t>
      </w:r>
    </w:p>
    <w:p w:rsidR="00E43DEB" w:rsidRDefault="00E43DEB" w:rsidP="00E43DEB">
      <w:pPr>
        <w:pStyle w:val="Default"/>
        <w:spacing w:line="360" w:lineRule="auto"/>
        <w:ind w:firstLine="709"/>
        <w:jc w:val="both"/>
        <w:rPr>
          <w:sz w:val="40"/>
          <w:szCs w:val="28"/>
          <w:lang w:val="uk-UA"/>
        </w:rPr>
      </w:pPr>
      <w:r>
        <w:rPr>
          <w:noProof/>
          <w:sz w:val="40"/>
          <w:szCs w:val="28"/>
          <w:lang w:eastAsia="ru-RU"/>
        </w:rPr>
        <w:drawing>
          <wp:inline distT="0" distB="0" distL="0" distR="0">
            <wp:extent cx="5353050" cy="3794760"/>
            <wp:effectExtent l="1905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5356860" cy="3797461"/>
                    </a:xfrm>
                    <a:prstGeom prst="rect">
                      <a:avLst/>
                    </a:prstGeom>
                    <a:noFill/>
                    <a:ln w="9525">
                      <a:noFill/>
                      <a:miter lim="800000"/>
                      <a:headEnd/>
                      <a:tailEnd/>
                    </a:ln>
                  </pic:spPr>
                </pic:pic>
              </a:graphicData>
            </a:graphic>
          </wp:inline>
        </w:drawing>
      </w:r>
    </w:p>
    <w:p w:rsidR="00E43DEB" w:rsidRPr="00E43DEB" w:rsidRDefault="00E43DEB" w:rsidP="00E43DEB">
      <w:pPr>
        <w:pStyle w:val="Default"/>
        <w:jc w:val="center"/>
        <w:rPr>
          <w:szCs w:val="20"/>
          <w:lang w:val="uk-UA"/>
        </w:rPr>
      </w:pPr>
      <w:r w:rsidRPr="00E43DEB">
        <w:rPr>
          <w:szCs w:val="20"/>
          <w:lang w:val="uk-UA"/>
        </w:rPr>
        <w:t xml:space="preserve">Рис. 1. Взаємозв’язок елементів моделі </w:t>
      </w:r>
      <w:r w:rsidRPr="00E43DEB">
        <w:rPr>
          <w:szCs w:val="20"/>
        </w:rPr>
        <w:t>SIMCM</w:t>
      </w:r>
      <w:r w:rsidRPr="00E43DEB">
        <w:rPr>
          <w:szCs w:val="20"/>
          <w:lang w:val="uk-UA"/>
        </w:rPr>
        <w:t xml:space="preserve"> підчас спонсорської комунікації в неолімпійських видах спортивних єдиноборств</w:t>
      </w:r>
    </w:p>
    <w:p w:rsidR="00E43DEB" w:rsidRPr="00EF7941" w:rsidRDefault="00E43DEB" w:rsidP="00EF7941">
      <w:pPr>
        <w:pStyle w:val="Default"/>
        <w:spacing w:line="360" w:lineRule="auto"/>
        <w:ind w:firstLine="709"/>
        <w:rPr>
          <w:sz w:val="28"/>
          <w:szCs w:val="20"/>
          <w:lang w:val="uk-UA"/>
        </w:rPr>
      </w:pPr>
      <w:r w:rsidRPr="00EF7941">
        <w:rPr>
          <w:sz w:val="28"/>
          <w:szCs w:val="20"/>
          <w:lang w:val="uk-UA"/>
        </w:rPr>
        <w:t xml:space="preserve">Критерії застосування оцінки ефективності передбачають: </w:t>
      </w:r>
    </w:p>
    <w:p w:rsidR="00E43DEB" w:rsidRPr="00EF7941" w:rsidRDefault="00E43DEB" w:rsidP="00EF7941">
      <w:pPr>
        <w:pStyle w:val="Default"/>
        <w:numPr>
          <w:ilvl w:val="0"/>
          <w:numId w:val="1"/>
        </w:numPr>
        <w:spacing w:after="33" w:line="360" w:lineRule="auto"/>
        <w:rPr>
          <w:sz w:val="28"/>
          <w:szCs w:val="20"/>
          <w:lang w:val="uk-UA"/>
        </w:rPr>
      </w:pPr>
      <w:r w:rsidRPr="00EF7941">
        <w:rPr>
          <w:sz w:val="28"/>
          <w:szCs w:val="20"/>
          <w:lang w:val="uk-UA"/>
        </w:rPr>
        <w:t xml:space="preserve">Визначити ефективність застосування кожного елемента моделі SIMCM у менеджменті неолімпійських видів спортивних єдиноборств. </w:t>
      </w:r>
    </w:p>
    <w:p w:rsidR="00E43DEB" w:rsidRPr="00EF7941" w:rsidRDefault="00E43DEB" w:rsidP="00EF7941">
      <w:pPr>
        <w:pStyle w:val="Default"/>
        <w:numPr>
          <w:ilvl w:val="0"/>
          <w:numId w:val="1"/>
        </w:numPr>
        <w:spacing w:after="33" w:line="360" w:lineRule="auto"/>
        <w:rPr>
          <w:sz w:val="28"/>
          <w:szCs w:val="20"/>
          <w:lang w:val="uk-UA"/>
        </w:rPr>
      </w:pPr>
      <w:r w:rsidRPr="00EF7941">
        <w:rPr>
          <w:sz w:val="28"/>
          <w:szCs w:val="20"/>
          <w:lang w:val="uk-UA"/>
        </w:rPr>
        <w:t xml:space="preserve">Визначити рівень задоволеності спонсорів та аудиторії. </w:t>
      </w:r>
    </w:p>
    <w:p w:rsidR="00E43DEB" w:rsidRPr="00EF7941" w:rsidRDefault="00E43DEB" w:rsidP="00EF7941">
      <w:pPr>
        <w:pStyle w:val="Default"/>
        <w:numPr>
          <w:ilvl w:val="0"/>
          <w:numId w:val="1"/>
        </w:numPr>
        <w:spacing w:line="360" w:lineRule="auto"/>
        <w:rPr>
          <w:sz w:val="28"/>
          <w:szCs w:val="20"/>
          <w:lang w:val="uk-UA"/>
        </w:rPr>
      </w:pPr>
      <w:r w:rsidRPr="00EF7941">
        <w:rPr>
          <w:sz w:val="28"/>
          <w:szCs w:val="20"/>
          <w:lang w:val="uk-UA"/>
        </w:rPr>
        <w:t xml:space="preserve">Виявити ключові фактори успішності та бар’єри в спонсорській діяльності. </w:t>
      </w:r>
    </w:p>
    <w:p w:rsidR="00E43DEB" w:rsidRPr="00EF7941" w:rsidRDefault="00E43DEB" w:rsidP="00EF7941">
      <w:pPr>
        <w:pStyle w:val="Default"/>
        <w:spacing w:line="360" w:lineRule="auto"/>
        <w:ind w:firstLine="709"/>
        <w:jc w:val="both"/>
        <w:rPr>
          <w:sz w:val="52"/>
          <w:szCs w:val="28"/>
          <w:lang w:val="uk-UA"/>
        </w:rPr>
      </w:pPr>
      <w:r w:rsidRPr="00EF7941">
        <w:rPr>
          <w:sz w:val="28"/>
          <w:szCs w:val="20"/>
          <w:lang w:val="uk-UA"/>
        </w:rPr>
        <w:lastRenderedPageBreak/>
        <w:t>Основні показники оцінки ефективності застосування даної моделі представлені у табл. 2.</w:t>
      </w:r>
    </w:p>
    <w:p w:rsidR="00EF7941" w:rsidRPr="00EF7941" w:rsidRDefault="00EF7941" w:rsidP="00EF7941">
      <w:pPr>
        <w:pStyle w:val="Default"/>
        <w:jc w:val="right"/>
        <w:rPr>
          <w:b/>
          <w:i/>
          <w:sz w:val="28"/>
          <w:szCs w:val="20"/>
          <w:lang w:val="uk-UA"/>
        </w:rPr>
      </w:pPr>
      <w:r w:rsidRPr="00EF7941">
        <w:rPr>
          <w:b/>
          <w:i/>
          <w:sz w:val="28"/>
          <w:szCs w:val="20"/>
          <w:lang w:val="uk-UA"/>
        </w:rPr>
        <w:t xml:space="preserve">Таблиця 2 </w:t>
      </w:r>
    </w:p>
    <w:p w:rsidR="00EF7941" w:rsidRPr="00EF7941" w:rsidRDefault="00EF7941" w:rsidP="00EF7941">
      <w:pPr>
        <w:pStyle w:val="Default"/>
        <w:jc w:val="center"/>
        <w:rPr>
          <w:b/>
          <w:i/>
          <w:sz w:val="28"/>
          <w:szCs w:val="20"/>
          <w:lang w:val="uk-UA"/>
        </w:rPr>
      </w:pPr>
      <w:r w:rsidRPr="00EF7941">
        <w:rPr>
          <w:b/>
          <w:sz w:val="28"/>
          <w:szCs w:val="20"/>
          <w:lang w:val="uk-UA"/>
        </w:rPr>
        <w:t xml:space="preserve">Оцінки ефективності застосування моделі </w:t>
      </w:r>
      <w:r w:rsidRPr="00EF7941">
        <w:rPr>
          <w:b/>
          <w:sz w:val="28"/>
          <w:szCs w:val="20"/>
        </w:rPr>
        <w:t>SIMCM</w:t>
      </w:r>
      <w:r w:rsidRPr="00EF7941">
        <w:rPr>
          <w:b/>
          <w:sz w:val="28"/>
          <w:szCs w:val="20"/>
          <w:lang w:val="uk-UA"/>
        </w:rPr>
        <w:t xml:space="preserve"> підчас здійснення спонсорської діяльності у неолімпійських видах спортивних єдиноборств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713"/>
        <w:gridCol w:w="6635"/>
      </w:tblGrid>
      <w:tr w:rsidR="00EF7941" w:rsidTr="00EF7941">
        <w:tblPrEx>
          <w:tblCellMar>
            <w:top w:w="0" w:type="dxa"/>
            <w:bottom w:w="0" w:type="dxa"/>
          </w:tblCellMar>
        </w:tblPrEx>
        <w:trPr>
          <w:trHeight w:val="80"/>
        </w:trPr>
        <w:tc>
          <w:tcPr>
            <w:tcW w:w="3713" w:type="dxa"/>
          </w:tcPr>
          <w:p w:rsidR="00EF7941" w:rsidRPr="00EF7941" w:rsidRDefault="00EF7941">
            <w:pPr>
              <w:pStyle w:val="Default"/>
              <w:rPr>
                <w:szCs w:val="18"/>
                <w:lang w:val="uk-UA"/>
              </w:rPr>
            </w:pPr>
            <w:r w:rsidRPr="00EF7941">
              <w:rPr>
                <w:b/>
                <w:bCs/>
                <w:szCs w:val="18"/>
                <w:lang w:val="uk-UA"/>
              </w:rPr>
              <w:t xml:space="preserve">Елемент моделі </w:t>
            </w:r>
          </w:p>
        </w:tc>
        <w:tc>
          <w:tcPr>
            <w:tcW w:w="6635" w:type="dxa"/>
          </w:tcPr>
          <w:p w:rsidR="00EF7941" w:rsidRPr="00EF7941" w:rsidRDefault="00EF7941">
            <w:pPr>
              <w:pStyle w:val="Default"/>
              <w:rPr>
                <w:szCs w:val="18"/>
                <w:lang w:val="uk-UA"/>
              </w:rPr>
            </w:pPr>
            <w:r w:rsidRPr="00EF7941">
              <w:rPr>
                <w:b/>
                <w:bCs/>
                <w:szCs w:val="18"/>
                <w:lang w:val="uk-UA"/>
              </w:rPr>
              <w:t xml:space="preserve">Показники ефективності </w:t>
            </w:r>
          </w:p>
        </w:tc>
      </w:tr>
      <w:tr w:rsidR="00EF7941" w:rsidTr="00EF7941">
        <w:tblPrEx>
          <w:tblCellMar>
            <w:top w:w="0" w:type="dxa"/>
            <w:bottom w:w="0" w:type="dxa"/>
          </w:tblCellMar>
        </w:tblPrEx>
        <w:trPr>
          <w:trHeight w:val="81"/>
        </w:trPr>
        <w:tc>
          <w:tcPr>
            <w:tcW w:w="3713" w:type="dxa"/>
          </w:tcPr>
          <w:p w:rsidR="00EF7941" w:rsidRPr="00EF7941" w:rsidRDefault="00EF7941">
            <w:pPr>
              <w:pStyle w:val="Default"/>
              <w:rPr>
                <w:szCs w:val="18"/>
                <w:lang w:val="uk-UA"/>
              </w:rPr>
            </w:pPr>
            <w:r w:rsidRPr="00EF7941">
              <w:rPr>
                <w:szCs w:val="18"/>
                <w:lang w:val="uk-UA"/>
              </w:rPr>
              <w:t xml:space="preserve">Робота з аудиторією </w:t>
            </w:r>
          </w:p>
        </w:tc>
        <w:tc>
          <w:tcPr>
            <w:tcW w:w="6635" w:type="dxa"/>
          </w:tcPr>
          <w:p w:rsidR="00EF7941" w:rsidRPr="00EF7941" w:rsidRDefault="00EF7941">
            <w:pPr>
              <w:pStyle w:val="Default"/>
              <w:rPr>
                <w:szCs w:val="18"/>
                <w:lang w:val="uk-UA"/>
              </w:rPr>
            </w:pPr>
            <w:r w:rsidRPr="00EF7941">
              <w:rPr>
                <w:szCs w:val="18"/>
                <w:lang w:val="uk-UA"/>
              </w:rPr>
              <w:t xml:space="preserve">Кількість нових спонсорів, рівень лояльності, повторні угоди </w:t>
            </w:r>
          </w:p>
        </w:tc>
      </w:tr>
      <w:tr w:rsidR="00EF7941" w:rsidTr="00EF7941">
        <w:tblPrEx>
          <w:tblCellMar>
            <w:top w:w="0" w:type="dxa"/>
            <w:bottom w:w="0" w:type="dxa"/>
          </w:tblCellMar>
        </w:tblPrEx>
        <w:trPr>
          <w:trHeight w:val="81"/>
        </w:trPr>
        <w:tc>
          <w:tcPr>
            <w:tcW w:w="3713" w:type="dxa"/>
          </w:tcPr>
          <w:p w:rsidR="00EF7941" w:rsidRPr="00EF7941" w:rsidRDefault="00EF7941">
            <w:pPr>
              <w:pStyle w:val="Default"/>
              <w:rPr>
                <w:szCs w:val="18"/>
                <w:lang w:val="uk-UA"/>
              </w:rPr>
            </w:pPr>
            <w:r w:rsidRPr="00EF7941">
              <w:rPr>
                <w:szCs w:val="18"/>
                <w:lang w:val="uk-UA"/>
              </w:rPr>
              <w:t xml:space="preserve">Реклама </w:t>
            </w:r>
          </w:p>
        </w:tc>
        <w:tc>
          <w:tcPr>
            <w:tcW w:w="6635" w:type="dxa"/>
          </w:tcPr>
          <w:p w:rsidR="00EF7941" w:rsidRPr="00EF7941" w:rsidRDefault="00EF7941">
            <w:pPr>
              <w:pStyle w:val="Default"/>
              <w:rPr>
                <w:szCs w:val="18"/>
                <w:lang w:val="uk-UA"/>
              </w:rPr>
            </w:pPr>
            <w:r w:rsidRPr="00EF7941">
              <w:rPr>
                <w:szCs w:val="18"/>
                <w:lang w:val="uk-UA"/>
              </w:rPr>
              <w:t xml:space="preserve">Охоплення аудиторії, впізнаваність бренду, коефіцієнт конверсії </w:t>
            </w:r>
          </w:p>
        </w:tc>
      </w:tr>
      <w:tr w:rsidR="00EF7941" w:rsidTr="00EF7941">
        <w:tblPrEx>
          <w:tblCellMar>
            <w:top w:w="0" w:type="dxa"/>
            <w:bottom w:w="0" w:type="dxa"/>
          </w:tblCellMar>
        </w:tblPrEx>
        <w:trPr>
          <w:trHeight w:val="81"/>
        </w:trPr>
        <w:tc>
          <w:tcPr>
            <w:tcW w:w="3713" w:type="dxa"/>
          </w:tcPr>
          <w:p w:rsidR="00EF7941" w:rsidRPr="00EF7941" w:rsidRDefault="00EF7941">
            <w:pPr>
              <w:pStyle w:val="Default"/>
              <w:rPr>
                <w:szCs w:val="18"/>
                <w:lang w:val="uk-UA"/>
              </w:rPr>
            </w:pPr>
            <w:r w:rsidRPr="00EF7941">
              <w:rPr>
                <w:szCs w:val="18"/>
                <w:lang w:val="uk-UA"/>
              </w:rPr>
              <w:t xml:space="preserve">Пабліситі </w:t>
            </w:r>
          </w:p>
        </w:tc>
        <w:tc>
          <w:tcPr>
            <w:tcW w:w="6635" w:type="dxa"/>
          </w:tcPr>
          <w:p w:rsidR="00EF7941" w:rsidRPr="00EF7941" w:rsidRDefault="00EF7941">
            <w:pPr>
              <w:pStyle w:val="Default"/>
              <w:rPr>
                <w:szCs w:val="18"/>
                <w:lang w:val="uk-UA"/>
              </w:rPr>
            </w:pPr>
            <w:r w:rsidRPr="00EF7941">
              <w:rPr>
                <w:szCs w:val="18"/>
                <w:lang w:val="uk-UA"/>
              </w:rPr>
              <w:t xml:space="preserve">Кількість публікацій, тональність матеріалів, рівень медіаактивності </w:t>
            </w:r>
          </w:p>
        </w:tc>
      </w:tr>
      <w:tr w:rsidR="00EF7941" w:rsidTr="00EF7941">
        <w:tblPrEx>
          <w:tblCellMar>
            <w:top w:w="0" w:type="dxa"/>
            <w:bottom w:w="0" w:type="dxa"/>
          </w:tblCellMar>
        </w:tblPrEx>
        <w:trPr>
          <w:trHeight w:val="81"/>
        </w:trPr>
        <w:tc>
          <w:tcPr>
            <w:tcW w:w="3713" w:type="dxa"/>
          </w:tcPr>
          <w:p w:rsidR="00EF7941" w:rsidRPr="00EF7941" w:rsidRDefault="00EF7941">
            <w:pPr>
              <w:pStyle w:val="Default"/>
              <w:rPr>
                <w:szCs w:val="18"/>
                <w:lang w:val="uk-UA"/>
              </w:rPr>
            </w:pPr>
            <w:r w:rsidRPr="00EF7941">
              <w:rPr>
                <w:szCs w:val="18"/>
                <w:lang w:val="uk-UA"/>
              </w:rPr>
              <w:t xml:space="preserve">Особистий контакт </w:t>
            </w:r>
          </w:p>
        </w:tc>
        <w:tc>
          <w:tcPr>
            <w:tcW w:w="6635" w:type="dxa"/>
          </w:tcPr>
          <w:p w:rsidR="00EF7941" w:rsidRPr="00EF7941" w:rsidRDefault="00EF7941">
            <w:pPr>
              <w:pStyle w:val="Default"/>
              <w:rPr>
                <w:szCs w:val="18"/>
                <w:lang w:val="uk-UA"/>
              </w:rPr>
            </w:pPr>
            <w:r w:rsidRPr="00EF7941">
              <w:rPr>
                <w:szCs w:val="18"/>
                <w:lang w:val="uk-UA"/>
              </w:rPr>
              <w:t xml:space="preserve">Кількість особистих зустрічей, оцінка задоволеності спонсорів </w:t>
            </w:r>
          </w:p>
        </w:tc>
      </w:tr>
      <w:tr w:rsidR="00EF7941" w:rsidTr="00EF7941">
        <w:tblPrEx>
          <w:tblCellMar>
            <w:top w:w="0" w:type="dxa"/>
            <w:bottom w:w="0" w:type="dxa"/>
          </w:tblCellMar>
        </w:tblPrEx>
        <w:trPr>
          <w:trHeight w:val="81"/>
        </w:trPr>
        <w:tc>
          <w:tcPr>
            <w:tcW w:w="3713" w:type="dxa"/>
          </w:tcPr>
          <w:p w:rsidR="00EF7941" w:rsidRPr="00EF7941" w:rsidRDefault="00EF7941">
            <w:pPr>
              <w:pStyle w:val="Default"/>
              <w:rPr>
                <w:szCs w:val="18"/>
                <w:lang w:val="uk-UA"/>
              </w:rPr>
            </w:pPr>
            <w:r w:rsidRPr="00EF7941">
              <w:rPr>
                <w:szCs w:val="18"/>
                <w:lang w:val="uk-UA"/>
              </w:rPr>
              <w:t xml:space="preserve">Стимули </w:t>
            </w:r>
          </w:p>
        </w:tc>
        <w:tc>
          <w:tcPr>
            <w:tcW w:w="6635" w:type="dxa"/>
          </w:tcPr>
          <w:p w:rsidR="00EF7941" w:rsidRPr="00EF7941" w:rsidRDefault="00EF7941">
            <w:pPr>
              <w:pStyle w:val="Default"/>
              <w:rPr>
                <w:szCs w:val="18"/>
                <w:lang w:val="uk-UA"/>
              </w:rPr>
            </w:pPr>
            <w:r w:rsidRPr="00EF7941">
              <w:rPr>
                <w:szCs w:val="18"/>
                <w:lang w:val="uk-UA"/>
              </w:rPr>
              <w:t xml:space="preserve">Кількість стимулів, реакція аудиторії, залученість учасників </w:t>
            </w:r>
          </w:p>
        </w:tc>
      </w:tr>
      <w:tr w:rsidR="00EF7941" w:rsidTr="00EF7941">
        <w:tblPrEx>
          <w:tblCellMar>
            <w:top w:w="0" w:type="dxa"/>
            <w:bottom w:w="0" w:type="dxa"/>
          </w:tblCellMar>
        </w:tblPrEx>
        <w:trPr>
          <w:trHeight w:val="81"/>
        </w:trPr>
        <w:tc>
          <w:tcPr>
            <w:tcW w:w="3713" w:type="dxa"/>
          </w:tcPr>
          <w:p w:rsidR="00EF7941" w:rsidRPr="00EF7941" w:rsidRDefault="00EF7941">
            <w:pPr>
              <w:pStyle w:val="Default"/>
              <w:rPr>
                <w:szCs w:val="18"/>
                <w:lang w:val="uk-UA"/>
              </w:rPr>
            </w:pPr>
            <w:r w:rsidRPr="00EF7941">
              <w:rPr>
                <w:szCs w:val="18"/>
                <w:lang w:val="uk-UA"/>
              </w:rPr>
              <w:t xml:space="preserve">Реклама на об’єктах </w:t>
            </w:r>
          </w:p>
        </w:tc>
        <w:tc>
          <w:tcPr>
            <w:tcW w:w="6635" w:type="dxa"/>
          </w:tcPr>
          <w:p w:rsidR="00EF7941" w:rsidRPr="00EF7941" w:rsidRDefault="00EF7941">
            <w:pPr>
              <w:pStyle w:val="Default"/>
              <w:rPr>
                <w:szCs w:val="18"/>
                <w:lang w:val="uk-UA"/>
              </w:rPr>
            </w:pPr>
            <w:r w:rsidRPr="00EF7941">
              <w:rPr>
                <w:szCs w:val="18"/>
                <w:lang w:val="uk-UA"/>
              </w:rPr>
              <w:t xml:space="preserve">Відгуки відвідувачів, оцінка впливу на продажі спонсора </w:t>
            </w:r>
          </w:p>
        </w:tc>
      </w:tr>
      <w:tr w:rsidR="00EF7941" w:rsidTr="00EF7941">
        <w:tblPrEx>
          <w:tblCellMar>
            <w:top w:w="0" w:type="dxa"/>
            <w:bottom w:w="0" w:type="dxa"/>
          </w:tblCellMar>
        </w:tblPrEx>
        <w:trPr>
          <w:trHeight w:val="81"/>
        </w:trPr>
        <w:tc>
          <w:tcPr>
            <w:tcW w:w="3713" w:type="dxa"/>
          </w:tcPr>
          <w:p w:rsidR="00EF7941" w:rsidRPr="00EF7941" w:rsidRDefault="00EF7941">
            <w:pPr>
              <w:pStyle w:val="Default"/>
              <w:rPr>
                <w:szCs w:val="18"/>
                <w:lang w:val="uk-UA"/>
              </w:rPr>
            </w:pPr>
            <w:r w:rsidRPr="00EF7941">
              <w:rPr>
                <w:szCs w:val="18"/>
                <w:lang w:val="uk-UA"/>
              </w:rPr>
              <w:t xml:space="preserve">Ліцензування </w:t>
            </w:r>
          </w:p>
        </w:tc>
        <w:tc>
          <w:tcPr>
            <w:tcW w:w="6635" w:type="dxa"/>
          </w:tcPr>
          <w:p w:rsidR="00EF7941" w:rsidRPr="00EF7941" w:rsidRDefault="00EF7941">
            <w:pPr>
              <w:pStyle w:val="Default"/>
              <w:rPr>
                <w:szCs w:val="18"/>
                <w:lang w:val="uk-UA"/>
              </w:rPr>
            </w:pPr>
            <w:r w:rsidRPr="00EF7941">
              <w:rPr>
                <w:szCs w:val="18"/>
                <w:lang w:val="uk-UA"/>
              </w:rPr>
              <w:t xml:space="preserve">Обсяги продажу мерчендайзингу, кількість залучених клієнтів через програми </w:t>
            </w:r>
          </w:p>
        </w:tc>
      </w:tr>
      <w:tr w:rsidR="00EF7941" w:rsidTr="00EF7941">
        <w:tblPrEx>
          <w:tblCellMar>
            <w:top w:w="0" w:type="dxa"/>
            <w:bottom w:w="0" w:type="dxa"/>
          </w:tblCellMar>
        </w:tblPrEx>
        <w:trPr>
          <w:trHeight w:val="81"/>
        </w:trPr>
        <w:tc>
          <w:tcPr>
            <w:tcW w:w="3713" w:type="dxa"/>
          </w:tcPr>
          <w:p w:rsidR="00EF7941" w:rsidRPr="00EF7941" w:rsidRDefault="00EF7941">
            <w:pPr>
              <w:pStyle w:val="Default"/>
              <w:rPr>
                <w:szCs w:val="18"/>
                <w:lang w:val="uk-UA"/>
              </w:rPr>
            </w:pPr>
            <w:r w:rsidRPr="00EF7941">
              <w:rPr>
                <w:szCs w:val="18"/>
                <w:lang w:val="uk-UA"/>
              </w:rPr>
              <w:t xml:space="preserve">Фандрайзинг </w:t>
            </w:r>
          </w:p>
        </w:tc>
        <w:tc>
          <w:tcPr>
            <w:tcW w:w="6635" w:type="dxa"/>
          </w:tcPr>
          <w:p w:rsidR="00EF7941" w:rsidRPr="00EF7941" w:rsidRDefault="00EF7941">
            <w:pPr>
              <w:pStyle w:val="Default"/>
              <w:rPr>
                <w:szCs w:val="18"/>
                <w:lang w:val="uk-UA"/>
              </w:rPr>
            </w:pPr>
            <w:r w:rsidRPr="00EF7941">
              <w:rPr>
                <w:szCs w:val="18"/>
                <w:lang w:val="uk-UA"/>
              </w:rPr>
              <w:t xml:space="preserve">Кількість залучених коштів, число нових партнерів </w:t>
            </w:r>
          </w:p>
        </w:tc>
      </w:tr>
    </w:tbl>
    <w:p w:rsidR="00EF7941" w:rsidRPr="00EF7941" w:rsidRDefault="00EF7941" w:rsidP="00EF7941">
      <w:pPr>
        <w:pStyle w:val="Default"/>
        <w:spacing w:line="360" w:lineRule="auto"/>
        <w:ind w:firstLine="709"/>
        <w:jc w:val="both"/>
        <w:rPr>
          <w:sz w:val="28"/>
          <w:szCs w:val="28"/>
          <w:lang w:val="uk-UA"/>
        </w:rPr>
      </w:pPr>
      <w:r w:rsidRPr="00EF7941">
        <w:rPr>
          <w:b/>
          <w:bCs/>
          <w:sz w:val="28"/>
          <w:szCs w:val="28"/>
          <w:lang w:val="uk-UA"/>
        </w:rPr>
        <w:t xml:space="preserve">Методи збору даних для оцінки ефективності застосування моделі SIMCM у неолімпійських видах спортивних єдиноборств: </w:t>
      </w:r>
    </w:p>
    <w:p w:rsidR="00EF7941" w:rsidRPr="00EF7941" w:rsidRDefault="00EF7941" w:rsidP="00EF7941">
      <w:pPr>
        <w:pStyle w:val="Default"/>
        <w:numPr>
          <w:ilvl w:val="0"/>
          <w:numId w:val="1"/>
        </w:numPr>
        <w:spacing w:after="33" w:line="360" w:lineRule="auto"/>
        <w:jc w:val="both"/>
        <w:rPr>
          <w:sz w:val="28"/>
          <w:szCs w:val="28"/>
          <w:lang w:val="uk-UA"/>
        </w:rPr>
      </w:pPr>
      <w:r w:rsidRPr="00EF7941">
        <w:rPr>
          <w:sz w:val="28"/>
          <w:szCs w:val="28"/>
          <w:lang w:val="uk-UA"/>
        </w:rPr>
        <w:t xml:space="preserve">Опитування спонсорів та учасників спортивних заходів. </w:t>
      </w:r>
    </w:p>
    <w:p w:rsidR="00EF7941" w:rsidRPr="00EF7941" w:rsidRDefault="00EF7941" w:rsidP="00EF7941">
      <w:pPr>
        <w:pStyle w:val="Default"/>
        <w:numPr>
          <w:ilvl w:val="0"/>
          <w:numId w:val="1"/>
        </w:numPr>
        <w:spacing w:after="33" w:line="360" w:lineRule="auto"/>
        <w:jc w:val="both"/>
        <w:rPr>
          <w:sz w:val="28"/>
          <w:szCs w:val="28"/>
          <w:lang w:val="uk-UA"/>
        </w:rPr>
      </w:pPr>
      <w:r w:rsidRPr="00EF7941">
        <w:rPr>
          <w:sz w:val="28"/>
          <w:szCs w:val="28"/>
          <w:lang w:val="uk-UA"/>
        </w:rPr>
        <w:t xml:space="preserve">Аналіз статистики відвідуваності та охоплення медіа. </w:t>
      </w:r>
    </w:p>
    <w:p w:rsidR="00EF7941" w:rsidRPr="00EF7941" w:rsidRDefault="00EF7941" w:rsidP="00EF7941">
      <w:pPr>
        <w:pStyle w:val="Default"/>
        <w:numPr>
          <w:ilvl w:val="0"/>
          <w:numId w:val="1"/>
        </w:numPr>
        <w:spacing w:after="33" w:line="360" w:lineRule="auto"/>
        <w:jc w:val="both"/>
        <w:rPr>
          <w:sz w:val="28"/>
          <w:szCs w:val="28"/>
          <w:lang w:val="uk-UA"/>
        </w:rPr>
      </w:pPr>
      <w:r w:rsidRPr="00EF7941">
        <w:rPr>
          <w:sz w:val="28"/>
          <w:szCs w:val="28"/>
          <w:lang w:val="uk-UA"/>
        </w:rPr>
        <w:t xml:space="preserve">Соціологічні дослідження серед уболівальників. </w:t>
      </w:r>
    </w:p>
    <w:p w:rsidR="00EF7941" w:rsidRPr="00EF7941" w:rsidRDefault="00EF7941" w:rsidP="00EF7941">
      <w:pPr>
        <w:pStyle w:val="Default"/>
        <w:numPr>
          <w:ilvl w:val="0"/>
          <w:numId w:val="1"/>
        </w:numPr>
        <w:spacing w:after="33" w:line="360" w:lineRule="auto"/>
        <w:jc w:val="both"/>
        <w:rPr>
          <w:sz w:val="28"/>
          <w:szCs w:val="28"/>
          <w:lang w:val="uk-UA"/>
        </w:rPr>
      </w:pPr>
      <w:r w:rsidRPr="00EF7941">
        <w:rPr>
          <w:sz w:val="28"/>
          <w:szCs w:val="28"/>
          <w:lang w:val="uk-UA"/>
        </w:rPr>
        <w:t xml:space="preserve">Моніторинг ЗМІ та соціальних мереж. </w:t>
      </w:r>
    </w:p>
    <w:p w:rsidR="00EF7941" w:rsidRPr="00EF7941" w:rsidRDefault="00EF7941" w:rsidP="00EF7941">
      <w:pPr>
        <w:pStyle w:val="Default"/>
        <w:numPr>
          <w:ilvl w:val="0"/>
          <w:numId w:val="1"/>
        </w:numPr>
        <w:spacing w:line="360" w:lineRule="auto"/>
        <w:jc w:val="both"/>
        <w:rPr>
          <w:sz w:val="28"/>
          <w:szCs w:val="28"/>
          <w:lang w:val="uk-UA"/>
        </w:rPr>
      </w:pPr>
      <w:r w:rsidRPr="00EF7941">
        <w:rPr>
          <w:sz w:val="28"/>
          <w:szCs w:val="28"/>
          <w:lang w:val="uk-UA"/>
        </w:rPr>
        <w:t xml:space="preserve">Фінансовий аналіз доходів від спонсорства. </w:t>
      </w:r>
    </w:p>
    <w:p w:rsidR="00EF7941" w:rsidRPr="00EF7941" w:rsidRDefault="00EF7941" w:rsidP="00EF7941">
      <w:pPr>
        <w:pStyle w:val="Default"/>
        <w:spacing w:line="360" w:lineRule="auto"/>
        <w:ind w:firstLine="709"/>
        <w:jc w:val="both"/>
        <w:rPr>
          <w:sz w:val="28"/>
          <w:szCs w:val="28"/>
          <w:lang w:val="uk-UA"/>
        </w:rPr>
      </w:pPr>
      <w:r w:rsidRPr="00EF7941">
        <w:rPr>
          <w:b/>
          <w:bCs/>
          <w:sz w:val="28"/>
          <w:szCs w:val="28"/>
          <w:lang w:val="uk-UA"/>
        </w:rPr>
        <w:t xml:space="preserve">Методика аналізу отриманих даних передбачає застосування: </w:t>
      </w:r>
    </w:p>
    <w:p w:rsidR="00EF7941" w:rsidRPr="00EF7941" w:rsidRDefault="00EF7941" w:rsidP="00EF7941">
      <w:pPr>
        <w:pStyle w:val="Default"/>
        <w:numPr>
          <w:ilvl w:val="0"/>
          <w:numId w:val="1"/>
        </w:numPr>
        <w:spacing w:after="33" w:line="360" w:lineRule="auto"/>
        <w:jc w:val="both"/>
        <w:rPr>
          <w:sz w:val="28"/>
          <w:szCs w:val="28"/>
          <w:lang w:val="uk-UA"/>
        </w:rPr>
      </w:pPr>
      <w:r w:rsidRPr="00EF7941">
        <w:rPr>
          <w:sz w:val="28"/>
          <w:szCs w:val="28"/>
          <w:lang w:val="uk-UA"/>
        </w:rPr>
        <w:t xml:space="preserve">Порівняння фактичних показників з плановими (бенчмарками). </w:t>
      </w:r>
    </w:p>
    <w:p w:rsidR="00EF7941" w:rsidRPr="00EF7941" w:rsidRDefault="00EF7941" w:rsidP="00EF7941">
      <w:pPr>
        <w:pStyle w:val="Default"/>
        <w:numPr>
          <w:ilvl w:val="0"/>
          <w:numId w:val="1"/>
        </w:numPr>
        <w:spacing w:after="33" w:line="360" w:lineRule="auto"/>
        <w:jc w:val="both"/>
        <w:rPr>
          <w:sz w:val="28"/>
          <w:szCs w:val="28"/>
          <w:lang w:val="uk-UA"/>
        </w:rPr>
      </w:pPr>
      <w:r w:rsidRPr="00EF7941">
        <w:rPr>
          <w:sz w:val="28"/>
          <w:szCs w:val="28"/>
          <w:lang w:val="uk-UA"/>
        </w:rPr>
        <w:t xml:space="preserve">SWOT-аналіз спонсорської діяльності. </w:t>
      </w:r>
    </w:p>
    <w:p w:rsidR="00EF7941" w:rsidRPr="00EF7941" w:rsidRDefault="00EF7941" w:rsidP="00EF7941">
      <w:pPr>
        <w:pStyle w:val="Default"/>
        <w:numPr>
          <w:ilvl w:val="0"/>
          <w:numId w:val="1"/>
        </w:numPr>
        <w:spacing w:after="33" w:line="360" w:lineRule="auto"/>
        <w:jc w:val="both"/>
        <w:rPr>
          <w:sz w:val="28"/>
          <w:szCs w:val="28"/>
          <w:lang w:val="uk-UA"/>
        </w:rPr>
      </w:pPr>
      <w:r w:rsidRPr="00EF7941">
        <w:rPr>
          <w:sz w:val="28"/>
          <w:szCs w:val="28"/>
          <w:lang w:val="uk-UA"/>
        </w:rPr>
        <w:t xml:space="preserve">Визначення коефіцієнта ефективності ROI (Return on Investment). </w:t>
      </w:r>
    </w:p>
    <w:p w:rsidR="00EF7941" w:rsidRPr="00EF7941" w:rsidRDefault="00EF7941" w:rsidP="00EF7941">
      <w:pPr>
        <w:pStyle w:val="Default"/>
        <w:numPr>
          <w:ilvl w:val="0"/>
          <w:numId w:val="1"/>
        </w:numPr>
        <w:spacing w:line="360" w:lineRule="auto"/>
        <w:jc w:val="both"/>
        <w:rPr>
          <w:sz w:val="28"/>
          <w:szCs w:val="28"/>
          <w:lang w:val="uk-UA"/>
        </w:rPr>
      </w:pPr>
      <w:r w:rsidRPr="00EF7941">
        <w:rPr>
          <w:sz w:val="28"/>
          <w:szCs w:val="28"/>
          <w:lang w:val="uk-UA"/>
        </w:rPr>
        <w:t xml:space="preserve">Виявлення проблемних зон та розробка рекомендацій щодо покращення. </w:t>
      </w:r>
    </w:p>
    <w:p w:rsidR="00EF7941" w:rsidRPr="00EF7941" w:rsidRDefault="00EF7941" w:rsidP="00EF7941">
      <w:pPr>
        <w:pStyle w:val="Default"/>
        <w:spacing w:line="360" w:lineRule="auto"/>
        <w:ind w:firstLine="709"/>
        <w:jc w:val="both"/>
        <w:rPr>
          <w:sz w:val="28"/>
          <w:szCs w:val="28"/>
          <w:lang w:val="uk-UA"/>
        </w:rPr>
      </w:pPr>
      <w:r w:rsidRPr="00EF7941">
        <w:rPr>
          <w:b/>
          <w:bCs/>
          <w:sz w:val="28"/>
          <w:szCs w:val="28"/>
          <w:lang w:val="uk-UA"/>
        </w:rPr>
        <w:t xml:space="preserve">Висновки. </w:t>
      </w:r>
      <w:r w:rsidRPr="00EF7941">
        <w:rPr>
          <w:sz w:val="28"/>
          <w:szCs w:val="28"/>
          <w:lang w:val="uk-UA"/>
        </w:rPr>
        <w:t xml:space="preserve">Запропонована стратегія застосування спонсорських інструментів на основі моделі SIMCM є комплексною і адаптованою до особливостей неолімпійських видів спортивних єдиноборств. Вона враховує специфіку галузі, поведінкові особливості цільової аудиторії та сучасні тенденції спортивного маркетингу. </w:t>
      </w:r>
    </w:p>
    <w:p w:rsidR="00EF7941" w:rsidRDefault="00EF7941" w:rsidP="00EF7941">
      <w:pPr>
        <w:pStyle w:val="Default"/>
        <w:spacing w:line="360" w:lineRule="auto"/>
        <w:ind w:firstLine="709"/>
        <w:jc w:val="both"/>
        <w:rPr>
          <w:sz w:val="28"/>
          <w:szCs w:val="28"/>
        </w:rPr>
      </w:pPr>
      <w:r w:rsidRPr="00EF7941">
        <w:rPr>
          <w:sz w:val="28"/>
          <w:szCs w:val="28"/>
          <w:lang w:val="uk-UA"/>
        </w:rPr>
        <w:lastRenderedPageBreak/>
        <w:t>Реалізація цієї стратегії сприятиме зміцненню партнерських відносин між спортивними організаціями та спонсорами, підвищенню ефективності комунікацій, залученню нових глядачів і прихильників, а також розвитку соціальної складової спортивної індустрії. Включення гуманістичних складових 4Е додасть стратегії етичної, емоційної та естетичної насиченості, що є важливим для сталого розвитку неолімпійських видів спорту в Україні.</w:t>
      </w:r>
      <w:r w:rsidRPr="00EF7941">
        <w:rPr>
          <w:sz w:val="28"/>
          <w:szCs w:val="28"/>
        </w:rPr>
        <w:t xml:space="preserve"> </w:t>
      </w:r>
    </w:p>
    <w:p w:rsidR="00EF7941" w:rsidRPr="00EF7941" w:rsidRDefault="00EF7941" w:rsidP="00EF7941">
      <w:pPr>
        <w:pStyle w:val="Default"/>
        <w:spacing w:line="360" w:lineRule="auto"/>
        <w:ind w:firstLine="709"/>
        <w:jc w:val="both"/>
        <w:rPr>
          <w:sz w:val="28"/>
          <w:szCs w:val="28"/>
        </w:rPr>
      </w:pPr>
      <w:r w:rsidRPr="00EF7941">
        <w:rPr>
          <w:sz w:val="28"/>
          <w:szCs w:val="28"/>
        </w:rPr>
        <w:t xml:space="preserve">Джерела. </w:t>
      </w:r>
    </w:p>
    <w:p w:rsidR="00EF7941" w:rsidRPr="00EF7941" w:rsidRDefault="00EF7941" w:rsidP="00EF7941">
      <w:pPr>
        <w:pStyle w:val="Default"/>
        <w:spacing w:after="4"/>
        <w:ind w:firstLine="709"/>
        <w:jc w:val="both"/>
        <w:rPr>
          <w:sz w:val="28"/>
          <w:szCs w:val="28"/>
        </w:rPr>
      </w:pPr>
      <w:r w:rsidRPr="00EF7941">
        <w:rPr>
          <w:sz w:val="28"/>
          <w:szCs w:val="28"/>
        </w:rPr>
        <w:t xml:space="preserve">1. Андрющенко І. Як правильно почати діджиталізувати свій бізнес. URL: https://nv.ua/ukr/techno/technoblogs/jak-pravilno-pochati-didzhitalizirovats (дата звернення: 28.06.2025). </w:t>
      </w:r>
    </w:p>
    <w:p w:rsidR="00EF7941" w:rsidRPr="00EF7941" w:rsidRDefault="00EF7941" w:rsidP="00EF7941">
      <w:pPr>
        <w:pStyle w:val="Default"/>
        <w:spacing w:after="4"/>
        <w:ind w:firstLine="709"/>
        <w:jc w:val="both"/>
        <w:rPr>
          <w:sz w:val="28"/>
          <w:szCs w:val="28"/>
        </w:rPr>
      </w:pPr>
      <w:r w:rsidRPr="00EF7941">
        <w:rPr>
          <w:sz w:val="28"/>
          <w:szCs w:val="28"/>
        </w:rPr>
        <w:t xml:space="preserve">2. Бі́ч Дж., Чедвік С. Маркетинг у спорті / Пер. з англ. Київ: Видавництво «Наукова думка», 2018. – 320 с. </w:t>
      </w:r>
    </w:p>
    <w:p w:rsidR="00EF7941" w:rsidRPr="00EF7941" w:rsidRDefault="00EF7941" w:rsidP="00EF7941">
      <w:pPr>
        <w:pStyle w:val="Default"/>
        <w:spacing w:after="4"/>
        <w:ind w:firstLine="709"/>
        <w:jc w:val="both"/>
        <w:rPr>
          <w:sz w:val="28"/>
          <w:szCs w:val="28"/>
        </w:rPr>
      </w:pPr>
      <w:r w:rsidRPr="00EF7941">
        <w:rPr>
          <w:sz w:val="28"/>
          <w:szCs w:val="28"/>
        </w:rPr>
        <w:t xml:space="preserve">3. ДСТУ ГОСТ 7.1:2006. Система стандартів з інформації, бібліотечної та видавничої справи. Бібліографічний запис. Загальні вимоги та правила складання </w:t>
      </w:r>
    </w:p>
    <w:p w:rsidR="00EF7941" w:rsidRPr="00EF7941" w:rsidRDefault="00EF7941" w:rsidP="00EF7941">
      <w:pPr>
        <w:pStyle w:val="Default"/>
        <w:spacing w:after="4"/>
        <w:ind w:firstLine="709"/>
        <w:jc w:val="both"/>
        <w:rPr>
          <w:sz w:val="28"/>
          <w:szCs w:val="28"/>
        </w:rPr>
      </w:pPr>
      <w:r w:rsidRPr="00EF7941">
        <w:rPr>
          <w:sz w:val="28"/>
          <w:szCs w:val="28"/>
        </w:rPr>
        <w:t xml:space="preserve">4. Ірвін І. Стимулювання продажу послуг у спортивній галузі. </w:t>
      </w:r>
      <w:r w:rsidRPr="00EF7941">
        <w:rPr>
          <w:i/>
          <w:iCs/>
          <w:sz w:val="28"/>
          <w:szCs w:val="28"/>
        </w:rPr>
        <w:t>Журнал спортивного менеджмент</w:t>
      </w:r>
      <w:r w:rsidRPr="00EF7941">
        <w:rPr>
          <w:sz w:val="28"/>
          <w:szCs w:val="28"/>
        </w:rPr>
        <w:t xml:space="preserve">у. 2017. Т. 10, №2. С. 45-56. </w:t>
      </w:r>
    </w:p>
    <w:p w:rsidR="00EF7941" w:rsidRPr="00EF7941" w:rsidRDefault="00EF7941" w:rsidP="00EF7941">
      <w:pPr>
        <w:pStyle w:val="Default"/>
        <w:spacing w:after="4"/>
        <w:ind w:firstLine="709"/>
        <w:jc w:val="both"/>
        <w:rPr>
          <w:sz w:val="28"/>
          <w:szCs w:val="28"/>
        </w:rPr>
      </w:pPr>
      <w:r w:rsidRPr="00EF7941">
        <w:rPr>
          <w:sz w:val="28"/>
          <w:szCs w:val="28"/>
        </w:rPr>
        <w:t xml:space="preserve">5. Карнаух А. С. Спонсорська комунікація у спортивному менеджменті. </w:t>
      </w:r>
      <w:r w:rsidRPr="00EF7941">
        <w:rPr>
          <w:i/>
          <w:iCs/>
          <w:sz w:val="28"/>
          <w:szCs w:val="28"/>
        </w:rPr>
        <w:t>Вісник Київського національного університету фізичного виховання і спорту України</w:t>
      </w:r>
      <w:r w:rsidRPr="00EF7941">
        <w:rPr>
          <w:sz w:val="28"/>
          <w:szCs w:val="28"/>
        </w:rPr>
        <w:t xml:space="preserve">. 2019. Вип. 5. С. 150-160. </w:t>
      </w:r>
    </w:p>
    <w:p w:rsidR="00EF7941" w:rsidRPr="00EF7941" w:rsidRDefault="00EF7941" w:rsidP="00EF7941">
      <w:pPr>
        <w:pStyle w:val="Default"/>
        <w:spacing w:after="4"/>
        <w:ind w:firstLine="709"/>
        <w:jc w:val="both"/>
        <w:rPr>
          <w:sz w:val="28"/>
          <w:szCs w:val="28"/>
        </w:rPr>
      </w:pPr>
      <w:r w:rsidRPr="00EF7941">
        <w:rPr>
          <w:sz w:val="28"/>
          <w:szCs w:val="28"/>
        </w:rPr>
        <w:t xml:space="preserve">6. Кузнецова О. С. Спонсорство в системі маркетингових комунікацій: теоретичний аспект. </w:t>
      </w:r>
      <w:r w:rsidRPr="00EF7941">
        <w:rPr>
          <w:i/>
          <w:iCs/>
          <w:sz w:val="28"/>
          <w:szCs w:val="28"/>
        </w:rPr>
        <w:t>Маркетинг і менеджмент інновацій</w:t>
      </w:r>
      <w:r w:rsidRPr="00EF7941">
        <w:rPr>
          <w:sz w:val="28"/>
          <w:szCs w:val="28"/>
        </w:rPr>
        <w:t xml:space="preserve">. 2020. №2. С. 88–97. </w:t>
      </w:r>
    </w:p>
    <w:p w:rsidR="00EF7941" w:rsidRPr="00EF7941" w:rsidRDefault="00EF7941" w:rsidP="00EF7941">
      <w:pPr>
        <w:pStyle w:val="Default"/>
        <w:spacing w:after="4"/>
        <w:ind w:firstLine="709"/>
        <w:jc w:val="both"/>
        <w:rPr>
          <w:sz w:val="28"/>
          <w:szCs w:val="28"/>
        </w:rPr>
      </w:pPr>
      <w:r w:rsidRPr="00EF7941">
        <w:rPr>
          <w:sz w:val="28"/>
          <w:szCs w:val="28"/>
        </w:rPr>
        <w:t xml:space="preserve">7. Симоненко Т. В. Управління брендом у сфері фізичної культури і спорту. </w:t>
      </w:r>
      <w:r w:rsidRPr="00EF7941">
        <w:rPr>
          <w:i/>
          <w:iCs/>
          <w:sz w:val="28"/>
          <w:szCs w:val="28"/>
        </w:rPr>
        <w:t>Вісник Чернігівського національного педагогічного університету</w:t>
      </w:r>
      <w:r w:rsidRPr="00EF7941">
        <w:rPr>
          <w:sz w:val="28"/>
          <w:szCs w:val="28"/>
        </w:rPr>
        <w:t xml:space="preserve">. 2021. Вип. 167. С. 93-96. </w:t>
      </w:r>
    </w:p>
    <w:p w:rsidR="00EF7941" w:rsidRPr="00EF7941" w:rsidRDefault="00EF7941" w:rsidP="00EF7941">
      <w:pPr>
        <w:pStyle w:val="Default"/>
        <w:spacing w:after="4"/>
        <w:ind w:firstLine="709"/>
        <w:jc w:val="both"/>
        <w:rPr>
          <w:sz w:val="28"/>
          <w:szCs w:val="28"/>
          <w:lang w:val="en-US"/>
        </w:rPr>
      </w:pPr>
      <w:r w:rsidRPr="00EF7941">
        <w:rPr>
          <w:sz w:val="28"/>
          <w:szCs w:val="28"/>
        </w:rPr>
        <w:t xml:space="preserve">8. Сорокіна О. Г. Соціальний маркетинг у спорті: виклики та перспективи. </w:t>
      </w:r>
      <w:r w:rsidRPr="00EF7941">
        <w:rPr>
          <w:i/>
          <w:iCs/>
          <w:sz w:val="28"/>
          <w:szCs w:val="28"/>
        </w:rPr>
        <w:t>Наукові</w:t>
      </w:r>
      <w:r w:rsidRPr="00EF7941">
        <w:rPr>
          <w:i/>
          <w:iCs/>
          <w:sz w:val="28"/>
          <w:szCs w:val="28"/>
          <w:lang w:val="en-US"/>
        </w:rPr>
        <w:t xml:space="preserve"> </w:t>
      </w:r>
      <w:r w:rsidRPr="00EF7941">
        <w:rPr>
          <w:i/>
          <w:iCs/>
          <w:sz w:val="28"/>
          <w:szCs w:val="28"/>
        </w:rPr>
        <w:t>записки</w:t>
      </w:r>
      <w:r w:rsidRPr="00EF7941">
        <w:rPr>
          <w:sz w:val="28"/>
          <w:szCs w:val="28"/>
          <w:lang w:val="en-US"/>
        </w:rPr>
        <w:t xml:space="preserve">. </w:t>
      </w:r>
      <w:r w:rsidRPr="00EF7941">
        <w:rPr>
          <w:sz w:val="28"/>
          <w:szCs w:val="28"/>
        </w:rPr>
        <w:t>Серія</w:t>
      </w:r>
      <w:r w:rsidRPr="00EF7941">
        <w:rPr>
          <w:sz w:val="28"/>
          <w:szCs w:val="28"/>
          <w:lang w:val="en-US"/>
        </w:rPr>
        <w:t xml:space="preserve">: </w:t>
      </w:r>
      <w:r w:rsidRPr="00EF7941">
        <w:rPr>
          <w:sz w:val="28"/>
          <w:szCs w:val="28"/>
        </w:rPr>
        <w:t>Педагогіка</w:t>
      </w:r>
      <w:r w:rsidRPr="00EF7941">
        <w:rPr>
          <w:sz w:val="28"/>
          <w:szCs w:val="28"/>
          <w:lang w:val="en-US"/>
        </w:rPr>
        <w:t xml:space="preserve">. 2023. № 192. </w:t>
      </w:r>
      <w:r w:rsidRPr="00EF7941">
        <w:rPr>
          <w:sz w:val="28"/>
          <w:szCs w:val="28"/>
        </w:rPr>
        <w:t>С</w:t>
      </w:r>
      <w:r w:rsidRPr="00EF7941">
        <w:rPr>
          <w:sz w:val="28"/>
          <w:szCs w:val="28"/>
          <w:lang w:val="en-US"/>
        </w:rPr>
        <w:t xml:space="preserve">. 117-121. </w:t>
      </w:r>
    </w:p>
    <w:p w:rsidR="00EF7941" w:rsidRPr="00EF7941" w:rsidRDefault="00EF7941" w:rsidP="00EF7941">
      <w:pPr>
        <w:pStyle w:val="Default"/>
        <w:ind w:firstLine="709"/>
        <w:jc w:val="both"/>
        <w:rPr>
          <w:sz w:val="28"/>
          <w:szCs w:val="28"/>
          <w:lang w:val="en-US"/>
        </w:rPr>
      </w:pPr>
      <w:r w:rsidRPr="00EF7941">
        <w:rPr>
          <w:sz w:val="28"/>
          <w:szCs w:val="28"/>
          <w:lang w:val="en-US"/>
        </w:rPr>
        <w:t xml:space="preserve">9. Kotler P., Keller K. L. Marketing Management. 15th ed. – Pearson Education Limited, 2016. – 816 </w:t>
      </w:r>
      <w:r w:rsidRPr="00EF7941">
        <w:rPr>
          <w:sz w:val="28"/>
          <w:szCs w:val="28"/>
        </w:rPr>
        <w:t>р</w:t>
      </w:r>
      <w:r w:rsidRPr="00EF7941">
        <w:rPr>
          <w:sz w:val="28"/>
          <w:szCs w:val="28"/>
          <w:lang w:val="en-US"/>
        </w:rPr>
        <w:t xml:space="preserve">. </w:t>
      </w:r>
    </w:p>
    <w:p w:rsidR="00E43DEB" w:rsidRPr="00EF7941" w:rsidRDefault="00E43DEB" w:rsidP="00E43DEB">
      <w:pPr>
        <w:pStyle w:val="Default"/>
        <w:spacing w:line="360" w:lineRule="auto"/>
        <w:ind w:firstLine="709"/>
        <w:jc w:val="both"/>
        <w:rPr>
          <w:sz w:val="40"/>
          <w:szCs w:val="28"/>
          <w:lang w:val="en-US"/>
        </w:rPr>
      </w:pPr>
    </w:p>
    <w:p w:rsidR="00E43DEB" w:rsidRPr="00E43DEB" w:rsidRDefault="00E43DEB" w:rsidP="00E43DEB">
      <w:pPr>
        <w:pStyle w:val="Default"/>
        <w:spacing w:line="360" w:lineRule="auto"/>
        <w:ind w:firstLine="709"/>
        <w:jc w:val="both"/>
        <w:rPr>
          <w:sz w:val="40"/>
          <w:szCs w:val="28"/>
          <w:lang w:val="uk-UA"/>
        </w:rPr>
      </w:pPr>
    </w:p>
    <w:sectPr w:rsidR="00E43DEB" w:rsidRPr="00E43DEB" w:rsidSect="00EF7941">
      <w:headerReference w:type="default" r:id="rId8"/>
      <w:pgSz w:w="11906" w:h="17338"/>
      <w:pgMar w:top="1565" w:right="647" w:bottom="806" w:left="941" w:header="720" w:footer="720" w:gutter="0"/>
      <w:cols w:space="720"/>
      <w:noEndnote/>
      <w:titlePg/>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7CF0" w:rsidRDefault="002D7CF0" w:rsidP="00EF7941">
      <w:pPr>
        <w:spacing w:after="0" w:line="240" w:lineRule="auto"/>
      </w:pPr>
      <w:r>
        <w:separator/>
      </w:r>
    </w:p>
  </w:endnote>
  <w:endnote w:type="continuationSeparator" w:id="0">
    <w:p w:rsidR="002D7CF0" w:rsidRDefault="002D7CF0" w:rsidP="00EF794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altName w:val="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7CF0" w:rsidRDefault="002D7CF0" w:rsidP="00EF7941">
      <w:pPr>
        <w:spacing w:after="0" w:line="240" w:lineRule="auto"/>
      </w:pPr>
      <w:r>
        <w:separator/>
      </w:r>
    </w:p>
  </w:footnote>
  <w:footnote w:type="continuationSeparator" w:id="0">
    <w:p w:rsidR="002D7CF0" w:rsidRDefault="002D7CF0" w:rsidP="00EF794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35485"/>
      <w:docPartObj>
        <w:docPartGallery w:val="Page Numbers (Top of Page)"/>
        <w:docPartUnique/>
      </w:docPartObj>
    </w:sdtPr>
    <w:sdtContent>
      <w:p w:rsidR="00EF7941" w:rsidRDefault="00EF7941">
        <w:pPr>
          <w:pStyle w:val="a5"/>
          <w:jc w:val="right"/>
        </w:pPr>
        <w:fldSimple w:instr=" PAGE   \* MERGEFORMAT ">
          <w:r>
            <w:rPr>
              <w:noProof/>
            </w:rPr>
            <w:t>8</w:t>
          </w:r>
        </w:fldSimple>
      </w:p>
    </w:sdtContent>
  </w:sdt>
  <w:p w:rsidR="00EF7941" w:rsidRDefault="00EF7941">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A0CF7"/>
    <w:multiLevelType w:val="hybridMultilevel"/>
    <w:tmpl w:val="46DCE854"/>
    <w:lvl w:ilvl="0" w:tplc="C018E57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36906D0"/>
    <w:multiLevelType w:val="hybridMultilevel"/>
    <w:tmpl w:val="FF2A7C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8ED7C28"/>
    <w:multiLevelType w:val="hybridMultilevel"/>
    <w:tmpl w:val="DC9CD05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272B5FA7"/>
    <w:multiLevelType w:val="hybridMultilevel"/>
    <w:tmpl w:val="9EF8263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3A16213F"/>
    <w:multiLevelType w:val="hybridMultilevel"/>
    <w:tmpl w:val="40E4E3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3EE6472F"/>
    <w:multiLevelType w:val="hybridMultilevel"/>
    <w:tmpl w:val="58E2700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479154F7"/>
    <w:multiLevelType w:val="hybridMultilevel"/>
    <w:tmpl w:val="54A25A54"/>
    <w:lvl w:ilvl="0" w:tplc="C018E57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47A13C7A"/>
    <w:multiLevelType w:val="hybridMultilevel"/>
    <w:tmpl w:val="CD5008C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52CEC11B"/>
    <w:multiLevelType w:val="hybridMultilevel"/>
    <w:tmpl w:val="0470A3F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588E7FD0"/>
    <w:multiLevelType w:val="hybridMultilevel"/>
    <w:tmpl w:val="D9FE6F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598218F2"/>
    <w:multiLevelType w:val="hybridMultilevel"/>
    <w:tmpl w:val="4748E2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9"/>
  </w:num>
  <w:num w:numId="2">
    <w:abstractNumId w:val="6"/>
  </w:num>
  <w:num w:numId="3">
    <w:abstractNumId w:val="8"/>
  </w:num>
  <w:num w:numId="4">
    <w:abstractNumId w:val="0"/>
  </w:num>
  <w:num w:numId="5">
    <w:abstractNumId w:val="2"/>
  </w:num>
  <w:num w:numId="6">
    <w:abstractNumId w:val="3"/>
  </w:num>
  <w:num w:numId="7">
    <w:abstractNumId w:val="7"/>
  </w:num>
  <w:num w:numId="8">
    <w:abstractNumId w:val="5"/>
  </w:num>
  <w:num w:numId="9">
    <w:abstractNumId w:val="1"/>
  </w:num>
  <w:num w:numId="10">
    <w:abstractNumId w:val="10"/>
  </w:num>
  <w:num w:numId="1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E43DEB"/>
    <w:rsid w:val="002D7CF0"/>
    <w:rsid w:val="00C64A24"/>
    <w:rsid w:val="00C67FF0"/>
    <w:rsid w:val="00E43DEB"/>
    <w:rsid w:val="00EF794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4A2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43DEB"/>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Balloon Text"/>
    <w:basedOn w:val="a"/>
    <w:link w:val="a4"/>
    <w:uiPriority w:val="99"/>
    <w:semiHidden/>
    <w:unhideWhenUsed/>
    <w:rsid w:val="00E43DE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E43DEB"/>
    <w:rPr>
      <w:rFonts w:ascii="Tahoma" w:hAnsi="Tahoma" w:cs="Tahoma"/>
      <w:sz w:val="16"/>
      <w:szCs w:val="16"/>
    </w:rPr>
  </w:style>
  <w:style w:type="paragraph" w:styleId="a5">
    <w:name w:val="header"/>
    <w:basedOn w:val="a"/>
    <w:link w:val="a6"/>
    <w:uiPriority w:val="99"/>
    <w:unhideWhenUsed/>
    <w:rsid w:val="00EF794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F7941"/>
  </w:style>
  <w:style w:type="paragraph" w:styleId="a7">
    <w:name w:val="footer"/>
    <w:basedOn w:val="a"/>
    <w:link w:val="a8"/>
    <w:uiPriority w:val="99"/>
    <w:semiHidden/>
    <w:unhideWhenUsed/>
    <w:rsid w:val="00EF7941"/>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rsid w:val="00EF794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8</Pages>
  <Words>2333</Words>
  <Characters>13304</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15606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Ірина</dc:creator>
  <cp:lastModifiedBy>Ірина</cp:lastModifiedBy>
  <cp:revision>1</cp:revision>
  <dcterms:created xsi:type="dcterms:W3CDTF">2025-10-17T14:05:00Z</dcterms:created>
  <dcterms:modified xsi:type="dcterms:W3CDTF">2025-10-17T14:20:00Z</dcterms:modified>
</cp:coreProperties>
</file>