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FBF05" w14:textId="77777777" w:rsidR="00DD0ABA" w:rsidRPr="002B15B5" w:rsidRDefault="00DD0ABA" w:rsidP="00DD0ABA">
      <w:pPr>
        <w:spacing w:line="240" w:lineRule="auto"/>
        <w:jc w:val="center"/>
        <w:rPr>
          <w:rFonts w:ascii="Times New Roman" w:eastAsia="Times New Roman" w:hAnsi="Times New Roman" w:cs="Times New Roman"/>
          <w:color w:val="000000"/>
          <w:sz w:val="28"/>
          <w:szCs w:val="28"/>
          <w:highlight w:val="white"/>
          <w:lang w:val="uk-UA"/>
        </w:rPr>
      </w:pPr>
      <w:r>
        <w:rPr>
          <w:rFonts w:ascii="Times New Roman" w:eastAsia="Times New Roman" w:hAnsi="Times New Roman" w:cs="Times New Roman"/>
          <w:color w:val="000000"/>
          <w:sz w:val="28"/>
          <w:szCs w:val="28"/>
          <w:highlight w:val="white"/>
        </w:rPr>
        <w:t>МІНІСТЕРСТВО ОСВІТИ І НАУКИ</w:t>
      </w:r>
      <w:r w:rsidRPr="002B15B5">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highlight w:val="white"/>
          <w:lang w:val="uk-UA"/>
        </w:rPr>
        <w:t>УКРАЇНИ</w:t>
      </w:r>
    </w:p>
    <w:p w14:paraId="4DBFD731"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НАЦІОНАЛЬНИЙ УНІВЕРСИТЕТ ФІЗИЧНОГО ВИХОВАННЯ І СПОРТУ</w:t>
      </w:r>
    </w:p>
    <w:p w14:paraId="53AF4B5D"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УКРАЇНИ</w:t>
      </w:r>
    </w:p>
    <w:p w14:paraId="06EB2374"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КАФЕДРА ТЕРАПІЇ ТА </w:t>
      </w:r>
      <w:r>
        <w:rPr>
          <w:rFonts w:ascii="Times New Roman" w:eastAsia="Times New Roman" w:hAnsi="Times New Roman" w:cs="Times New Roman"/>
          <w:color w:val="000000"/>
          <w:sz w:val="28"/>
          <w:szCs w:val="28"/>
          <w:highlight w:val="white"/>
          <w:lang w:val="uk-UA"/>
        </w:rPr>
        <w:t xml:space="preserve">РЕАБІЛІТАЦІЇ </w:t>
      </w:r>
    </w:p>
    <w:p w14:paraId="05BBC581"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p>
    <w:p w14:paraId="0F94875C"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p>
    <w:p w14:paraId="50198F51" w14:textId="77777777" w:rsidR="00DD0ABA" w:rsidRDefault="00DD0ABA" w:rsidP="00DD0ABA">
      <w:pPr>
        <w:spacing w:line="240" w:lineRule="auto"/>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КВАЛІФІКАЦІЙНА РОБОТА</w:t>
      </w:r>
    </w:p>
    <w:p w14:paraId="7F9BE76B"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на здобуття освітнього ступеня бакалавра</w:t>
      </w:r>
    </w:p>
    <w:p w14:paraId="1B0A01A3"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 спеціальністю: 227–Фізична терапія, ерготерапія</w:t>
      </w:r>
    </w:p>
    <w:p w14:paraId="69ED972A"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освітньою програмою: «Фізична терапія, ерготерапія»</w:t>
      </w:r>
    </w:p>
    <w:p w14:paraId="5ACD1500"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p>
    <w:p w14:paraId="08AB8CAD" w14:textId="77777777" w:rsidR="00DD0ABA" w:rsidRDefault="00DD0ABA" w:rsidP="00DD0ABA">
      <w:pPr>
        <w:spacing w:line="240" w:lineRule="auto"/>
        <w:jc w:val="center"/>
        <w:rPr>
          <w:rFonts w:ascii="Times New Roman" w:eastAsia="Times New Roman" w:hAnsi="Times New Roman" w:cs="Times New Roman"/>
          <w:color w:val="000000"/>
          <w:sz w:val="28"/>
          <w:szCs w:val="28"/>
          <w:highlight w:val="white"/>
        </w:rPr>
      </w:pPr>
    </w:p>
    <w:p w14:paraId="38407D00" w14:textId="77777777" w:rsidR="00DD0ABA" w:rsidRDefault="00DD0ABA" w:rsidP="00DD0ABA">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на тему: </w:t>
      </w:r>
      <w:r>
        <w:rPr>
          <w:rFonts w:ascii="Times New Roman" w:eastAsia="Times New Roman" w:hAnsi="Times New Roman" w:cs="Times New Roman"/>
          <w:b/>
          <w:color w:val="000000"/>
          <w:sz w:val="28"/>
          <w:szCs w:val="28"/>
          <w:highlight w:val="white"/>
        </w:rPr>
        <w:t>«ФІЗИЧНА ТЕРАПІЯ ПІСЛЯ РОЗРИВУ АБО РОЗТЯГНЕННЯ ЗВʼЯЗОК, СТАБІЛІЗУЮЧИХ КОЛІННИЙ СУГЛОБ</w:t>
      </w:r>
      <w:r>
        <w:rPr>
          <w:rFonts w:ascii="Times New Roman" w:eastAsia="Times New Roman" w:hAnsi="Times New Roman" w:cs="Times New Roman"/>
          <w:b/>
          <w:color w:val="000000"/>
          <w:sz w:val="28"/>
          <w:szCs w:val="28"/>
          <w:highlight w:val="white"/>
          <w:lang w:val="uk-UA"/>
        </w:rPr>
        <w:t xml:space="preserve"> </w:t>
      </w:r>
      <w:r>
        <w:rPr>
          <w:rFonts w:ascii="Times New Roman" w:eastAsia="Times New Roman" w:hAnsi="Times New Roman" w:cs="Times New Roman"/>
          <w:b/>
          <w:color w:val="000000"/>
          <w:sz w:val="28"/>
          <w:szCs w:val="28"/>
          <w:highlight w:val="white"/>
        </w:rPr>
        <w:t>У СПОРТСМЕНІВ»</w:t>
      </w:r>
    </w:p>
    <w:p w14:paraId="1D082CAA" w14:textId="77777777" w:rsidR="00DD0ABA" w:rsidRDefault="00DD0ABA" w:rsidP="00DD0ABA">
      <w:pPr>
        <w:spacing w:line="240" w:lineRule="auto"/>
        <w:jc w:val="both"/>
        <w:rPr>
          <w:rFonts w:ascii="Times New Roman" w:eastAsia="Times New Roman" w:hAnsi="Times New Roman" w:cs="Times New Roman"/>
          <w:color w:val="000000"/>
          <w:sz w:val="28"/>
          <w:szCs w:val="28"/>
          <w:highlight w:val="white"/>
        </w:rPr>
      </w:pPr>
    </w:p>
    <w:p w14:paraId="5DA62A0E"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Здобувач вищої освіти </w:t>
      </w:r>
    </w:p>
    <w:p w14:paraId="4AA8530C" w14:textId="77777777" w:rsidR="00DD0ABA" w:rsidRDefault="00DD0ABA" w:rsidP="00DD0ABA">
      <w:pPr>
        <w:pStyle w:val="Default"/>
        <w:spacing w:line="276" w:lineRule="auto"/>
        <w:ind w:left="3686"/>
        <w:jc w:val="both"/>
        <w:rPr>
          <w:sz w:val="28"/>
          <w:szCs w:val="28"/>
        </w:rPr>
      </w:pPr>
      <w:r w:rsidRPr="007B586F">
        <w:rPr>
          <w:sz w:val="28"/>
          <w:szCs w:val="28"/>
        </w:rPr>
        <w:t>першого (бакалаврського) рівня</w:t>
      </w:r>
    </w:p>
    <w:p w14:paraId="3686C5C8" w14:textId="77777777" w:rsidR="00DD0ABA" w:rsidRPr="002B3256" w:rsidRDefault="00DD0ABA" w:rsidP="00DD0ABA">
      <w:pPr>
        <w:pStyle w:val="Default"/>
        <w:spacing w:line="276" w:lineRule="auto"/>
        <w:ind w:left="3686"/>
        <w:jc w:val="both"/>
        <w:rPr>
          <w:rStyle w:val="ac"/>
          <w:b w:val="0"/>
          <w:bCs w:val="0"/>
          <w:sz w:val="28"/>
          <w:szCs w:val="28"/>
        </w:rPr>
      </w:pPr>
      <w:r>
        <w:rPr>
          <w:sz w:val="28"/>
          <w:szCs w:val="28"/>
        </w:rPr>
        <w:t xml:space="preserve">Трохимець Антон  </w:t>
      </w:r>
    </w:p>
    <w:p w14:paraId="6B5E5C00" w14:textId="77777777" w:rsidR="00DD0ABA" w:rsidRPr="007B586F" w:rsidRDefault="00DD0ABA" w:rsidP="00DD0ABA">
      <w:pPr>
        <w:pStyle w:val="Default"/>
        <w:spacing w:line="276" w:lineRule="auto"/>
        <w:ind w:left="3686"/>
        <w:jc w:val="both"/>
        <w:rPr>
          <w:sz w:val="28"/>
          <w:szCs w:val="28"/>
        </w:rPr>
      </w:pPr>
    </w:p>
    <w:p w14:paraId="1DFC5DBE" w14:textId="77777777" w:rsidR="00DD0ABA" w:rsidRDefault="00DD0ABA" w:rsidP="00DD0ABA">
      <w:pPr>
        <w:pStyle w:val="Default"/>
        <w:spacing w:line="276" w:lineRule="auto"/>
        <w:ind w:left="3686"/>
        <w:jc w:val="both"/>
        <w:rPr>
          <w:sz w:val="28"/>
          <w:szCs w:val="28"/>
        </w:rPr>
      </w:pPr>
      <w:r w:rsidRPr="007B586F">
        <w:rPr>
          <w:sz w:val="28"/>
          <w:szCs w:val="28"/>
        </w:rPr>
        <w:t xml:space="preserve">Науковий керівник: </w:t>
      </w:r>
      <w:r>
        <w:rPr>
          <w:sz w:val="28"/>
          <w:szCs w:val="28"/>
        </w:rPr>
        <w:t xml:space="preserve">ст. викладач </w:t>
      </w:r>
      <w:r w:rsidRPr="00FC22D7">
        <w:rPr>
          <w:sz w:val="28"/>
          <w:szCs w:val="28"/>
        </w:rPr>
        <w:t>Брушко В.В.</w:t>
      </w:r>
    </w:p>
    <w:p w14:paraId="75A511AB"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Рецензент: Андреєва О.В. </w:t>
      </w:r>
    </w:p>
    <w:p w14:paraId="58A3D08B"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д. фіз. вих., професор </w:t>
      </w:r>
    </w:p>
    <w:p w14:paraId="1F84556A" w14:textId="77777777" w:rsidR="00DD0ABA" w:rsidRPr="007B586F" w:rsidRDefault="00DD0ABA" w:rsidP="00DD0ABA">
      <w:pPr>
        <w:pStyle w:val="Default"/>
        <w:spacing w:line="276" w:lineRule="auto"/>
        <w:ind w:left="3686"/>
        <w:jc w:val="both"/>
        <w:rPr>
          <w:sz w:val="28"/>
          <w:szCs w:val="28"/>
        </w:rPr>
      </w:pPr>
    </w:p>
    <w:p w14:paraId="32CD9315"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Рекомендовано до захисту на засіданні кафедри (протокол № </w:t>
      </w:r>
      <w:r>
        <w:rPr>
          <w:sz w:val="28"/>
          <w:szCs w:val="28"/>
        </w:rPr>
        <w:t>24</w:t>
      </w:r>
      <w:r w:rsidRPr="007B586F">
        <w:rPr>
          <w:sz w:val="28"/>
          <w:szCs w:val="28"/>
        </w:rPr>
        <w:t xml:space="preserve"> від </w:t>
      </w:r>
      <w:r>
        <w:rPr>
          <w:sz w:val="28"/>
          <w:szCs w:val="28"/>
        </w:rPr>
        <w:t>05.05.2025</w:t>
      </w:r>
      <w:r w:rsidRPr="007B586F">
        <w:rPr>
          <w:sz w:val="28"/>
          <w:szCs w:val="28"/>
        </w:rPr>
        <w:t xml:space="preserve">р.) </w:t>
      </w:r>
    </w:p>
    <w:p w14:paraId="139062B9"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Завідувач кафедри: Лазарєва О.Б. </w:t>
      </w:r>
    </w:p>
    <w:p w14:paraId="252821BC" w14:textId="77777777" w:rsidR="00DD0ABA" w:rsidRPr="007B586F" w:rsidRDefault="00DD0ABA" w:rsidP="00DD0ABA">
      <w:pPr>
        <w:pStyle w:val="Default"/>
        <w:spacing w:line="276" w:lineRule="auto"/>
        <w:ind w:left="3686"/>
        <w:jc w:val="both"/>
        <w:rPr>
          <w:sz w:val="28"/>
          <w:szCs w:val="28"/>
        </w:rPr>
      </w:pPr>
      <w:r w:rsidRPr="007B586F">
        <w:rPr>
          <w:sz w:val="28"/>
          <w:szCs w:val="28"/>
        </w:rPr>
        <w:t xml:space="preserve">д. фіз. вих., професор </w:t>
      </w:r>
    </w:p>
    <w:p w14:paraId="0FA2EA90" w14:textId="77777777" w:rsidR="00DD0ABA" w:rsidRPr="007B586F" w:rsidRDefault="00DD0ABA" w:rsidP="00DD0ABA">
      <w:pPr>
        <w:pStyle w:val="Default"/>
        <w:spacing w:line="276" w:lineRule="auto"/>
        <w:ind w:left="3686"/>
        <w:jc w:val="both"/>
        <w:rPr>
          <w:sz w:val="28"/>
          <w:szCs w:val="28"/>
        </w:rPr>
      </w:pPr>
    </w:p>
    <w:p w14:paraId="780D51CD" w14:textId="77777777" w:rsidR="00DD0ABA" w:rsidRPr="007B586F" w:rsidRDefault="00DD0ABA" w:rsidP="00DD0ABA">
      <w:pPr>
        <w:pStyle w:val="Default"/>
        <w:spacing w:line="360" w:lineRule="auto"/>
        <w:ind w:left="3686"/>
        <w:jc w:val="both"/>
        <w:rPr>
          <w:sz w:val="28"/>
          <w:szCs w:val="28"/>
        </w:rPr>
      </w:pPr>
      <w:r w:rsidRPr="007B586F">
        <w:rPr>
          <w:sz w:val="28"/>
          <w:szCs w:val="28"/>
        </w:rPr>
        <w:t xml:space="preserve">_________________________________ </w:t>
      </w:r>
    </w:p>
    <w:p w14:paraId="32082E38" w14:textId="77777777" w:rsidR="00DD0ABA" w:rsidRPr="007B586F" w:rsidRDefault="00DD0ABA" w:rsidP="00DD0ABA">
      <w:pPr>
        <w:pStyle w:val="Default"/>
        <w:spacing w:line="360" w:lineRule="auto"/>
        <w:jc w:val="both"/>
        <w:rPr>
          <w:sz w:val="28"/>
          <w:szCs w:val="28"/>
        </w:rPr>
      </w:pPr>
    </w:p>
    <w:p w14:paraId="0EA3D63A" w14:textId="77777777" w:rsidR="00DD0ABA" w:rsidRDefault="00DD0ABA" w:rsidP="00DD0ABA">
      <w:pPr>
        <w:spacing w:after="0" w:line="360" w:lineRule="auto"/>
        <w:ind w:firstLine="709"/>
        <w:jc w:val="center"/>
        <w:rPr>
          <w:rFonts w:ascii="Times New Roman" w:hAnsi="Times New Roman" w:cs="Times New Roman"/>
          <w:sz w:val="28"/>
          <w:szCs w:val="28"/>
          <w:lang w:val="uk-UA"/>
        </w:rPr>
      </w:pPr>
    </w:p>
    <w:p w14:paraId="7EE1E0D9" w14:textId="02DA600F" w:rsidR="00DD0ABA" w:rsidRDefault="00DD0ABA" w:rsidP="00DD0ABA">
      <w:pPr>
        <w:spacing w:after="0" w:line="360" w:lineRule="auto"/>
        <w:ind w:firstLine="709"/>
        <w:jc w:val="center"/>
        <w:rPr>
          <w:rFonts w:ascii="Times New Roman" w:hAnsi="Times New Roman" w:cs="Times New Roman"/>
          <w:sz w:val="28"/>
          <w:szCs w:val="28"/>
          <w:lang w:val="uk-UA"/>
        </w:rPr>
      </w:pPr>
      <w:r w:rsidRPr="007B586F">
        <w:rPr>
          <w:rFonts w:ascii="Times New Roman" w:hAnsi="Times New Roman" w:cs="Times New Roman"/>
          <w:sz w:val="28"/>
          <w:szCs w:val="28"/>
        </w:rPr>
        <w:t>Київ – 2025</w:t>
      </w:r>
    </w:p>
    <w:p w14:paraId="31EF2671" w14:textId="77777777" w:rsidR="00DD0ABA" w:rsidRDefault="00DD0ABA" w:rsidP="00DD0ABA">
      <w:pPr>
        <w:pStyle w:val="1"/>
        <w:spacing w:line="360" w:lineRule="auto"/>
        <w:ind w:firstLine="709"/>
        <w:jc w:val="center"/>
        <w:rPr>
          <w:rFonts w:ascii="Times New Roman" w:eastAsia="Times New Roman" w:hAnsi="Times New Roman" w:cs="Times New Roman"/>
          <w:b/>
          <w:color w:val="000000"/>
          <w:sz w:val="28"/>
          <w:szCs w:val="28"/>
          <w:lang w:val="uk-UA"/>
        </w:rPr>
      </w:pPr>
      <w:bookmarkStart w:id="0" w:name="_Toc199186359"/>
      <w:r w:rsidRPr="00DD0ABA">
        <w:rPr>
          <w:rFonts w:ascii="Times New Roman" w:eastAsia="Times New Roman" w:hAnsi="Times New Roman" w:cs="Times New Roman"/>
          <w:b/>
          <w:color w:val="000000"/>
          <w:sz w:val="28"/>
          <w:szCs w:val="28"/>
          <w:lang w:val="uk-UA"/>
        </w:rPr>
        <w:lastRenderedPageBreak/>
        <w:t>РОЗДІЛ 1</w:t>
      </w:r>
      <w:r w:rsidRPr="00DD0ABA">
        <w:rPr>
          <w:rFonts w:ascii="Times New Roman" w:eastAsia="Times New Roman" w:hAnsi="Times New Roman" w:cs="Times New Roman"/>
          <w:b/>
          <w:color w:val="000000"/>
          <w:sz w:val="28"/>
          <w:szCs w:val="28"/>
          <w:lang w:val="uk-UA"/>
        </w:rPr>
        <w:br/>
        <w:t>СУЧАСНІ АСПЕКТИ ФІЗИЧНОЇ ТЕРАПІЇ ПІСЛЯ РОЗРИВУ АБО РОЗТЯГНЕННЯ СТАБІЛІЗУЮЧИХ ЗВ'ЯЗОК КОЛІННОГО СУГЛОБА У СПОРТСМЕНІВ</w:t>
      </w:r>
      <w:bookmarkEnd w:id="0"/>
    </w:p>
    <w:p w14:paraId="3EA28236" w14:textId="77777777" w:rsidR="00DD0ABA" w:rsidRPr="0087220D" w:rsidRDefault="00DD0ABA" w:rsidP="00DD0ABA">
      <w:pPr>
        <w:spacing w:after="0" w:line="480" w:lineRule="auto"/>
        <w:rPr>
          <w:rFonts w:ascii="Times New Roman" w:hAnsi="Times New Roman" w:cs="Times New Roman"/>
          <w:lang w:val="uk-UA"/>
        </w:rPr>
      </w:pPr>
    </w:p>
    <w:p w14:paraId="7B6A1E31" w14:textId="77777777" w:rsidR="00DD0ABA" w:rsidRPr="0087220D" w:rsidRDefault="00DD0ABA" w:rsidP="00DD0ABA">
      <w:pPr>
        <w:pStyle w:val="2"/>
        <w:spacing w:before="0" w:line="257" w:lineRule="auto"/>
        <w:ind w:firstLine="709"/>
        <w:jc w:val="both"/>
        <w:rPr>
          <w:rFonts w:ascii="Times New Roman" w:eastAsia="Times New Roman" w:hAnsi="Times New Roman" w:cs="Times New Roman"/>
          <w:b/>
          <w:color w:val="000000"/>
          <w:sz w:val="28"/>
          <w:szCs w:val="28"/>
        </w:rPr>
      </w:pPr>
      <w:bookmarkStart w:id="1" w:name="_Toc199186360"/>
      <w:r>
        <w:rPr>
          <w:rFonts w:ascii="Times New Roman" w:eastAsia="Times New Roman" w:hAnsi="Times New Roman" w:cs="Times New Roman"/>
          <w:b/>
          <w:color w:val="000000"/>
          <w:sz w:val="28"/>
          <w:szCs w:val="28"/>
          <w:lang w:val="uk-UA"/>
        </w:rPr>
        <w:t xml:space="preserve">1.1 </w:t>
      </w:r>
      <w:r>
        <w:rPr>
          <w:rFonts w:ascii="Times New Roman" w:eastAsia="Times New Roman" w:hAnsi="Times New Roman" w:cs="Times New Roman"/>
          <w:b/>
          <w:color w:val="000000"/>
          <w:sz w:val="28"/>
          <w:szCs w:val="28"/>
        </w:rPr>
        <w:t>Сучасні підходи в реабілітації спортсменів при травмах опорно-рухового апарату</w:t>
      </w:r>
      <w:bookmarkEnd w:id="1"/>
    </w:p>
    <w:p w14:paraId="31153011" w14:textId="77777777" w:rsidR="00DD0ABA" w:rsidRPr="0087220D" w:rsidRDefault="00DD0ABA" w:rsidP="00DD0ABA">
      <w:pPr>
        <w:pBdr>
          <w:top w:val="nil"/>
          <w:left w:val="nil"/>
          <w:bottom w:val="nil"/>
          <w:right w:val="nil"/>
          <w:between w:val="nil"/>
        </w:pBdr>
        <w:spacing w:after="0" w:line="480" w:lineRule="auto"/>
        <w:ind w:left="709"/>
        <w:jc w:val="both"/>
        <w:rPr>
          <w:rFonts w:ascii="Times New Roman" w:eastAsia="Times New Roman" w:hAnsi="Times New Roman" w:cs="Times New Roman"/>
          <w:b/>
          <w:color w:val="000000"/>
          <w:sz w:val="28"/>
          <w:szCs w:val="28"/>
        </w:rPr>
      </w:pPr>
    </w:p>
    <w:p w14:paraId="14E1D62B"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Сучасний професійний спорт є вершиною людських можливостей. Проте інтенсивний розвиток професійних та олімпійських дисциплін із жорсткою конкуренцією та екстремальними фізичними навантаженнями нерідко супроводжується високим рівнем травматизму, предпатологічними та патологічними станами, які можуть загрожувати здоров'ю атлетів та їхній спортивній кар’єрі.</w:t>
      </w:r>
    </w:p>
    <w:p w14:paraId="36E1E8DE"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За даними досліджень і Григуса І.М, спортивний травматизм є одним із ключових факторів, що впливають на досягнення високих результатів та загальну тривалість професійного шляху спортсменів. Міністерство охорони здоров’я України визначає, що травматизм у спорті посідає п’яте місце серед усіх видів травм після побутових, вуличних, виробничих і транспортних. При цьому чоловіки-спортсмени травмуються вдвічі частіше, ніж жінки</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rPr>
        <w:t>3</w:t>
      </w:r>
      <w:r w:rsidRPr="0087220D">
        <w:rPr>
          <w:rFonts w:ascii="Times New Roman" w:eastAsia="Times New Roman" w:hAnsi="Times New Roman" w:cs="Times New Roman"/>
          <w:color w:val="000000"/>
          <w:sz w:val="28"/>
          <w:szCs w:val="28"/>
          <w:lang w:val="uk-UA"/>
        </w:rPr>
        <w:t>]</w:t>
      </w:r>
    </w:p>
    <w:p w14:paraId="13AF5DCC"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Причини отримання травм у спорті мають різноманітний характер. Близько третини випадків (30,05 %) пов’язані з організаційними та методичними чинниками, тоді як 69,95 % зумовлені індивідуальними особливостями спортсменів. До організаційних причин відносять недостатнє матеріально-технічне забезпечення, невідповідні санітарно-гігієнічні умови тренувань, неякісне суддівство, а також недоліки в підготовці тренерського складу. Важливим аспектом є необхідність удосконалення правил змагань для зниження ризику отримання травм</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rPr>
        <w:t>4</w:t>
      </w:r>
      <w:r w:rsidRPr="0087220D">
        <w:rPr>
          <w:rFonts w:ascii="Times New Roman" w:eastAsia="Times New Roman" w:hAnsi="Times New Roman" w:cs="Times New Roman"/>
          <w:color w:val="000000"/>
          <w:sz w:val="28"/>
          <w:szCs w:val="28"/>
          <w:lang w:val="uk-UA"/>
        </w:rPr>
        <w:t>]</w:t>
      </w:r>
    </w:p>
    <w:p w14:paraId="49AE2A15"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 xml:space="preserve">До методичних чинників, що сприяють травматизму, належать порушення загальних принципів тренування, помилки під час спортивного </w:t>
      </w:r>
      <w:r w:rsidRPr="0087220D">
        <w:rPr>
          <w:rFonts w:ascii="Times New Roman" w:eastAsia="Times New Roman" w:hAnsi="Times New Roman" w:cs="Times New Roman"/>
          <w:color w:val="000000"/>
          <w:sz w:val="28"/>
          <w:szCs w:val="28"/>
          <w:lang w:val="uk-UA"/>
        </w:rPr>
        <w:lastRenderedPageBreak/>
        <w:t>відбору, недостатній лікарський контроль, а також необґрунтоване використання елементів тренувань з інших видів спорту. Індивідуальні чинники включають брак техніко-тактичної та фізичної підготовленості, порушення правил змагань і відхилення від режиму.</w:t>
      </w:r>
    </w:p>
    <w:p w14:paraId="399152B4"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Аналіз спортивного травматизму показує, що найпоширенішими є ушкодження опорно-рухового апарату (45 %), стоматологічні захворювання (30,5 %) та патології верхніх дихальних шляхів (8,5 %)</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r w:rsidRPr="007061F7">
        <w:rPr>
          <w:rFonts w:ascii="Times New Roman" w:eastAsia="Times New Roman" w:hAnsi="Times New Roman" w:cs="Times New Roman"/>
          <w:color w:val="000000"/>
          <w:sz w:val="28"/>
          <w:szCs w:val="28"/>
          <w:lang w:val="uk-UA"/>
        </w:rPr>
        <w:t>5</w:t>
      </w:r>
      <w:r w:rsidRPr="0087220D">
        <w:rPr>
          <w:rFonts w:ascii="Times New Roman" w:eastAsia="Times New Roman" w:hAnsi="Times New Roman" w:cs="Times New Roman"/>
          <w:color w:val="000000"/>
          <w:sz w:val="28"/>
          <w:szCs w:val="28"/>
          <w:lang w:val="uk-UA"/>
        </w:rPr>
        <w:t>] Високий рівень змагальної активності не лише збільшує ризик травм, а й може негативно впливати на спортивну підготовку, спричиняючи порушення адаптаційних механізмів, зокрема регулювання навантажень, відпочинку та відновлення.</w:t>
      </w:r>
    </w:p>
    <w:p w14:paraId="171E8C86"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0A01AEF3" w14:textId="77777777" w:rsidR="00DD0ABA" w:rsidRPr="0087220D"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noProof/>
          <w:color w:val="000000"/>
          <w:sz w:val="28"/>
          <w:szCs w:val="28"/>
          <w:lang w:val="uk-UA"/>
        </w:rPr>
        <w:drawing>
          <wp:inline distT="0" distB="0" distL="0" distR="0" wp14:anchorId="4E77BE56" wp14:editId="62CDC0FB">
            <wp:extent cx="4495800" cy="28575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7DA15194" w14:textId="77777777" w:rsidR="00DD0ABA" w:rsidRPr="0087220D"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Рисунок 1.1 – Аналіз спортивного травматизму</w:t>
      </w:r>
    </w:p>
    <w:p w14:paraId="30C38889" w14:textId="77777777" w:rsidR="00DD0ABA" w:rsidRPr="0087220D" w:rsidRDefault="00DD0ABA" w:rsidP="00DD0ABA">
      <w:pPr>
        <w:spacing w:after="0" w:line="360" w:lineRule="auto"/>
        <w:ind w:firstLine="709"/>
        <w:jc w:val="center"/>
        <w:rPr>
          <w:rFonts w:ascii="Times New Roman" w:eastAsia="Times New Roman" w:hAnsi="Times New Roman" w:cs="Times New Roman"/>
          <w:color w:val="000000"/>
          <w:sz w:val="28"/>
          <w:szCs w:val="28"/>
          <w:lang w:val="uk-UA"/>
        </w:rPr>
      </w:pPr>
    </w:p>
    <w:p w14:paraId="5859CDA7"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Статистика свідчить, що спортивний травматизм стає причиною завершення кар’єри для 60–70 % видатних атлетів, зводячи нанівець багаторічну важку працю</w:t>
      </w:r>
      <w:r>
        <w:rPr>
          <w:rFonts w:ascii="Times New Roman" w:eastAsia="Times New Roman" w:hAnsi="Times New Roman" w:cs="Times New Roman"/>
          <w:color w:val="000000"/>
          <w:sz w:val="28"/>
          <w:szCs w:val="28"/>
          <w:lang w:val="uk-UA"/>
        </w:rPr>
        <w:t xml:space="preserve"> (рис.1.1)</w:t>
      </w:r>
      <w:r w:rsidRPr="0087220D">
        <w:rPr>
          <w:rFonts w:ascii="Times New Roman" w:eastAsia="Times New Roman" w:hAnsi="Times New Roman" w:cs="Times New Roman"/>
          <w:color w:val="000000"/>
          <w:sz w:val="28"/>
          <w:szCs w:val="28"/>
          <w:lang w:val="uk-UA"/>
        </w:rPr>
        <w:t>. Згідно з даними Міжнародного олімпійського комітету, майже 10 % учасників Олімпіади в Ріо-де-Жанейро отримали травми під час змагань. У 92 командах було зафіксовано 1055 випадків травмувань, з яких 55 % припадало на нижні кінцівки, а 9,5 % – на травми голови</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lang w:val="uk-UA"/>
        </w:rPr>
        <w:t>6</w:t>
      </w:r>
      <w:r w:rsidRPr="0087220D">
        <w:rPr>
          <w:rFonts w:ascii="Times New Roman" w:eastAsia="Times New Roman" w:hAnsi="Times New Roman" w:cs="Times New Roman"/>
          <w:color w:val="000000"/>
          <w:sz w:val="28"/>
          <w:szCs w:val="28"/>
          <w:lang w:val="uk-UA"/>
        </w:rPr>
        <w:t>]</w:t>
      </w:r>
    </w:p>
    <w:p w14:paraId="0833705D" w14:textId="77777777" w:rsidR="00DD0ABA" w:rsidRPr="002A57D5"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lastRenderedPageBreak/>
        <w:t>Процес реабілітації після травм має ключове значення, оскільки довготривале обмеження фізичної активності призводить до м’язової гіпотрофії, обмеження рухливості суглобів, порушення кровообігу та змін у роботі серцево-судинної системи. Рефлекторне напруження м’язів у зоні травми може спричинити додаткові ускладнення, що ускладнює відновлення</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p>
    <w:p w14:paraId="386A5A74"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Спостерігається чіткий зв’язок між характером спортивних навантажень і специфікою травматичних ушкоджень. Найчастіше вражаються верхні та нижні кінцівки, причому у футболі 76,7 % усіх травм припадає на нижні кінцівки, а у спортивній гімнастиці 54,5 % ушкоджень стосуються верхніх кінцівок. Колінний суглоб є найбільш вразливим, на нього припадає близько 50 % усіх патологій опорно-рухового апарату, за ним ідуть гомілковостопний суглоб (10 %), поперековий і грудний відділи хребта (10 %), стопа і гомілка (6 %), тазостегновий, плечовий суглоби та кисть (по 5 %), ліктьовий суглоб (4 %)</w:t>
      </w:r>
      <w:r>
        <w:rPr>
          <w:rFonts w:ascii="Times New Roman" w:eastAsia="Times New Roman" w:hAnsi="Times New Roman" w:cs="Times New Roman"/>
          <w:color w:val="000000"/>
          <w:sz w:val="28"/>
          <w:szCs w:val="28"/>
          <w:lang w:val="uk-UA"/>
        </w:rPr>
        <w:t xml:space="preserve"> (рис.1.2).</w:t>
      </w:r>
      <w:r w:rsidRPr="0087220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7,</w:t>
      </w:r>
      <w:r>
        <w:rPr>
          <w:rFonts w:ascii="Times New Roman" w:eastAsia="Times New Roman" w:hAnsi="Times New Roman" w:cs="Times New Roman"/>
          <w:color w:val="000000"/>
          <w:sz w:val="28"/>
          <w:szCs w:val="28"/>
          <w:lang w:val="en-US"/>
        </w:rPr>
        <w:t>8</w:t>
      </w:r>
      <w:r w:rsidRPr="0087220D">
        <w:rPr>
          <w:rFonts w:ascii="Times New Roman" w:eastAsia="Times New Roman" w:hAnsi="Times New Roman" w:cs="Times New Roman"/>
          <w:color w:val="000000"/>
          <w:sz w:val="28"/>
          <w:szCs w:val="28"/>
          <w:lang w:val="uk-UA"/>
        </w:rPr>
        <w:t>]</w:t>
      </w:r>
    </w:p>
    <w:p w14:paraId="631CF698"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692D18FB"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noProof/>
          <w:color w:val="000000"/>
          <w:sz w:val="28"/>
          <w:szCs w:val="28"/>
          <w:lang w:val="uk-UA"/>
        </w:rPr>
        <w:drawing>
          <wp:inline distT="0" distB="0" distL="0" distR="0" wp14:anchorId="0A7151ED" wp14:editId="3860A46D">
            <wp:extent cx="5435600" cy="3286125"/>
            <wp:effectExtent l="0" t="0" r="12700" b="952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02244761" w14:textId="77777777" w:rsidR="00DD0ABA" w:rsidRPr="0087220D"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Рисунок 1.2 – Розподіл травматичних ушкоджень за зонами</w:t>
      </w:r>
    </w:p>
    <w:p w14:paraId="44D300D2"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6DD3550D" w14:textId="77777777" w:rsidR="00DD0ABA" w:rsidRPr="0087220D"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87220D">
        <w:rPr>
          <w:rFonts w:ascii="Times New Roman" w:eastAsia="Times New Roman" w:hAnsi="Times New Roman" w:cs="Times New Roman"/>
          <w:color w:val="000000"/>
          <w:sz w:val="28"/>
          <w:szCs w:val="28"/>
          <w:lang w:val="uk-UA"/>
        </w:rPr>
        <w:t xml:space="preserve">Ігрові види спорту є найбільш травмонебезпечними, оскільки на них припадає близько 67 % всіх травм. Це зумовлено високою динамічністю гри, </w:t>
      </w:r>
      <w:r w:rsidRPr="0087220D">
        <w:rPr>
          <w:rFonts w:ascii="Times New Roman" w:eastAsia="Times New Roman" w:hAnsi="Times New Roman" w:cs="Times New Roman"/>
          <w:color w:val="000000"/>
          <w:sz w:val="28"/>
          <w:szCs w:val="28"/>
          <w:lang w:val="uk-UA"/>
        </w:rPr>
        <w:lastRenderedPageBreak/>
        <w:t>необхідністю швидко приймати рішення в умовах обмеженого часу, значним фізичним та психоемоційним навантаженням. Додатковими факторами ризику є тривалий змагальний сезон, часті перельоти з адаптацією до різних часових поясів і змін у режимі харчування</w:t>
      </w:r>
      <w:r>
        <w:rPr>
          <w:rFonts w:ascii="Times New Roman" w:eastAsia="Times New Roman" w:hAnsi="Times New Roman" w:cs="Times New Roman"/>
          <w:color w:val="000000"/>
          <w:sz w:val="28"/>
          <w:szCs w:val="28"/>
          <w:lang w:val="uk-UA"/>
        </w:rPr>
        <w:t>.</w:t>
      </w:r>
      <w:r w:rsidRPr="0087220D">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rPr>
        <w:t>9</w:t>
      </w:r>
      <w:r w:rsidRPr="0087220D">
        <w:rPr>
          <w:rFonts w:ascii="Times New Roman" w:eastAsia="Times New Roman" w:hAnsi="Times New Roman" w:cs="Times New Roman"/>
          <w:color w:val="000000"/>
          <w:sz w:val="28"/>
          <w:szCs w:val="28"/>
          <w:lang w:val="uk-UA"/>
        </w:rPr>
        <w:t>]</w:t>
      </w:r>
    </w:p>
    <w:p w14:paraId="5F72BF9E"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rPr>
      </w:pPr>
      <w:r w:rsidRPr="0087220D">
        <w:rPr>
          <w:rFonts w:ascii="Times New Roman" w:eastAsia="Times New Roman" w:hAnsi="Times New Roman" w:cs="Times New Roman"/>
          <w:color w:val="000000"/>
          <w:sz w:val="28"/>
          <w:szCs w:val="28"/>
          <w:lang w:val="uk-UA"/>
        </w:rPr>
        <w:t>Спортивний травматизм залишається серйозною проблемою сучасного професійного спорту, що потребує системного підходу до профілактики, удосконалення тренувальних методик і покращення</w:t>
      </w:r>
      <w:r>
        <w:rPr>
          <w:rFonts w:ascii="Times New Roman" w:eastAsia="Times New Roman" w:hAnsi="Times New Roman" w:cs="Times New Roman"/>
          <w:color w:val="000000"/>
          <w:sz w:val="28"/>
          <w:szCs w:val="28"/>
        </w:rPr>
        <w:t xml:space="preserve"> умов для безпечного заняття спортом.</w:t>
      </w:r>
    </w:p>
    <w:p w14:paraId="502DFFD1"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Наукові дослідження показують, що найбільш поширеними травмами серед спортсменів, які займаються ігровими видами спорту, є ушкодження нижніх кінцівок (53,8 %). Це характерно як для командних, так і для індивідуальних дисциплін. Наступними за частотою є травми верхніх кінцівок (18,3 %), пошкодження хребта (13,2 %) і голови (9,8 %)</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rPr>
        <w:t>1</w:t>
      </w:r>
      <w:r w:rsidRPr="00BE6D8C">
        <w:rPr>
          <w:rFonts w:ascii="Times New Roman" w:eastAsia="Times New Roman" w:hAnsi="Times New Roman" w:cs="Times New Roman"/>
          <w:color w:val="000000"/>
          <w:sz w:val="28"/>
          <w:szCs w:val="28"/>
          <w:lang w:val="uk-UA"/>
        </w:rPr>
        <w:t>]</w:t>
      </w:r>
    </w:p>
    <w:p w14:paraId="0FBBD297"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Травмування опорно-рухового апарату в атлетів призводить до різкого припинення тренувального процесу, що впливає на усталені рухові навички. Вимушена пауза в спорті спричиняє поступову втрату умовно-рефлекторних зв’язків, які формувалися роками систематичних тренувань. Як наслідок, знижується функціональний потенціал організму, а також розвивається фізичне і психічне розтренування. Негативні емоційні переживання, викликані травмою, страх втратити спортивну форму та неможливість брати участь у змаганнях погіршують психологічний стан атлета, що ще більше посилює процес детренованості. Особливо гостро це питання стоїть для професійних спортсменів високого рівня. Саме тому ефективні методи відновлення рухових функцій відіграють важливу роль</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lang w:val="uk-UA"/>
        </w:rPr>
        <w:t>10</w:t>
      </w:r>
      <w:r w:rsidRPr="00BE6D8C">
        <w:rPr>
          <w:rFonts w:ascii="Times New Roman" w:eastAsia="Times New Roman" w:hAnsi="Times New Roman" w:cs="Times New Roman"/>
          <w:color w:val="000000"/>
          <w:sz w:val="28"/>
          <w:szCs w:val="28"/>
          <w:lang w:val="uk-UA"/>
        </w:rPr>
        <w:t>]</w:t>
      </w:r>
    </w:p>
    <w:p w14:paraId="338AA048"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 xml:space="preserve">За висновками як вітчизняних, так і зарубіжних фахівців, головним завданням реабілітації спортсменів є відновлення як загальної, так і спеціальної фізичної працездатності. Хоча реабілітаційні заходи мають певні спільні риси з методами відновлення осіб, які не займаються спортом, вони значно відрізняються за кінцевою метою, яка полягає у поверненні специфічних спортивних навичок. Це потребує особливих підходів до </w:t>
      </w:r>
      <w:r w:rsidRPr="00BE6D8C">
        <w:rPr>
          <w:rFonts w:ascii="Times New Roman" w:eastAsia="Times New Roman" w:hAnsi="Times New Roman" w:cs="Times New Roman"/>
          <w:color w:val="000000"/>
          <w:sz w:val="28"/>
          <w:szCs w:val="28"/>
          <w:lang w:val="uk-UA"/>
        </w:rPr>
        <w:lastRenderedPageBreak/>
        <w:t>організації процесу відновлення, а також застосування спеціальних методів і засобів</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w:t>
      </w:r>
      <w:r w:rsidRPr="002E317D">
        <w:rPr>
          <w:rFonts w:ascii="Times New Roman" w:eastAsia="Times New Roman" w:hAnsi="Times New Roman" w:cs="Times New Roman"/>
          <w:color w:val="000000"/>
          <w:sz w:val="28"/>
          <w:szCs w:val="28"/>
        </w:rPr>
        <w:t>2</w:t>
      </w:r>
      <w:r w:rsidRPr="00BE6D8C">
        <w:rPr>
          <w:rFonts w:ascii="Times New Roman" w:eastAsia="Times New Roman" w:hAnsi="Times New Roman" w:cs="Times New Roman"/>
          <w:color w:val="000000"/>
          <w:sz w:val="28"/>
          <w:szCs w:val="28"/>
          <w:lang w:val="uk-UA"/>
        </w:rPr>
        <w:t>]</w:t>
      </w:r>
    </w:p>
    <w:p w14:paraId="6833B130"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Ефективність реабілітації підвищується завдяки використанню різноманітних методик, об’єднаних у комплексні програми. Чим більш різноплановими є ці заходи, тим кращі результати вони дають, оскільки впливають на різні регуляторні механізми організму: імунні, нервові, гуморальні та функціональні. До таких засобів належать фізіотерапевтичні й бальнеологічні методики, різні види масажу (гідро-, пневмо-, вібромасаж, класичний ручний, точковий, сегментарно-рефлекторний тощо), ортопедичні засоби (зокрема спеціальні ортези), лазерна терапія, рефлексотерапія, баротерапія, психорегуляційні техніки та інші. Грамотне комбінування цих методів дозволяє взаємно посилювати їх дію</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[11]</w:t>
      </w:r>
    </w:p>
    <w:p w14:paraId="22215FC6"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Тривалий відновний період неминуче супроводжується детренованістю, що проявляється у зниженні рівня основних рухових якостей, втратою спеціальних навичок і погіршенням техніки виконання спортивних елементів.</w:t>
      </w:r>
    </w:p>
    <w:p w14:paraId="7563E087"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Відповідно до рекомендацій Нагорної О.Б, реабілітаційні засоби варто групувати у такі напрямки:</w:t>
      </w:r>
    </w:p>
    <w:p w14:paraId="13A9A4B0"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Відновлення функціональності травмованої ділянки опорно-рухового апарату;</w:t>
      </w:r>
    </w:p>
    <w:p w14:paraId="6E1FC156"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Відновлення загальної працездатності (фізичного стану, функціональних можливостей організму);</w:t>
      </w:r>
    </w:p>
    <w:p w14:paraId="5348F26F"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Відновлення спеціальної працездатності;</w:t>
      </w:r>
    </w:p>
    <w:p w14:paraId="30895F45"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Повернення втрачених рухових навичок;</w:t>
      </w:r>
    </w:p>
    <w:p w14:paraId="2118B6D4"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Відновлення психологічної рівноваги;</w:t>
      </w:r>
    </w:p>
    <w:p w14:paraId="4C2AB7E9" w14:textId="77777777" w:rsidR="00DD0ABA" w:rsidRPr="00BE6D8C" w:rsidRDefault="00DD0ABA" w:rsidP="00DD0AB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Підтримання працездатності й зняття втоми</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[12]</w:t>
      </w:r>
    </w:p>
    <w:p w14:paraId="1DDE37C5"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 xml:space="preserve">У сучасних ігрових видах спорту високі вимоги ставляться до швидкісно-силових якостей спортсменів. Основною методичною проблемою у процесі відновлення цих навичок є правильне поєднання швидкості рухів із силовими характеристиками. Оскільки швидкість виконання рухів і ступінь навантаження мають зворотно пропорційну залежність, необхідно знайти </w:t>
      </w:r>
      <w:r w:rsidRPr="00BE6D8C">
        <w:rPr>
          <w:rFonts w:ascii="Times New Roman" w:eastAsia="Times New Roman" w:hAnsi="Times New Roman" w:cs="Times New Roman"/>
          <w:color w:val="000000"/>
          <w:sz w:val="28"/>
          <w:szCs w:val="28"/>
          <w:lang w:val="uk-UA"/>
        </w:rPr>
        <w:lastRenderedPageBreak/>
        <w:t>оптимальний баланс, що дозволить досягти максимальної потужності та сили при збереженні пріоритету швидкості</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[13]</w:t>
      </w:r>
    </w:p>
    <w:p w14:paraId="710E3709"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Одним із найефективніших методів для відновлення швидкісно-силових характеристик є пліометричне тренування. Воно базується на використанні еластичних властивостей м’язів і сухожиль, зокрема міотатичного рефлексу, який сприяє потужному м’язовому скороченню. У спортивній практиці більшість рухів відбувається за рахунок ізотонічного скорочення м’язів, яке буває концентричним (при скороченні м’яза) або ексцентричним (при його подовженні). Під час виконання пліометричних вправ м’язи поєднують ці два види скорочень, що сприяє максимальній активації м’язових волокон і підвищенню їх продуктивності</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[14] Прикладами таких вправ є вертикальні стрибки або стрибки у довжину.</w:t>
      </w:r>
    </w:p>
    <w:p w14:paraId="4962567F" w14:textId="77777777" w:rsidR="00DD0ABA" w:rsidRPr="00BE6D8C" w:rsidRDefault="00DD0ABA" w:rsidP="00DD0A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Включення пліометричного тренування в заключний етап реабілітаційного процесу спортсменів, що займаються ігровими видами спорту, є необхідною умовою для ефективного відновлення спеціальної працездатності. Реабілітаційний процес вважається завершеним, коли показники рухових функцій досягають не менше 90 % від початкового рівня, що дозволяє спортсмену безпечно повернутися до тренувань.</w:t>
      </w:r>
    </w:p>
    <w:p w14:paraId="5C9D1449"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У процесі відновлення спортсменів після травм завдання фізичної терапії змінюються в залежності від етапу реабілітації. На початкових етапах основною метою є зниження больового синдрому, а на наступних – зменшення запалення, відновлення обсягу рухів, поліпшення м'язового тонусу, координації, рівноваги, точності і витривалості. Це сприяє поверненню спортсмена до його звичайної функціональності. Окрім того, фізична терапія повинна включати розробку програми, яка допоможе запобігти майбутнім травмам. Відновлення після травм вимагає висококваліфікованого підходу, а саме досвідченого фізичного терапевта. У спортивній практиці, особливо при роботі з міжнародними спортсменами, фізична терапія повинна здійснюватися через чітку послідовність: надання першої допомоги, рання активізація та індивідуальні тренування</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[15] В реабілітації виділяються три основні етапи: </w:t>
      </w:r>
      <w:r w:rsidRPr="00BE6D8C">
        <w:rPr>
          <w:rFonts w:ascii="Times New Roman" w:eastAsia="Times New Roman" w:hAnsi="Times New Roman" w:cs="Times New Roman"/>
          <w:color w:val="000000"/>
          <w:sz w:val="28"/>
          <w:szCs w:val="28"/>
          <w:lang w:val="uk-UA"/>
        </w:rPr>
        <w:lastRenderedPageBreak/>
        <w:t>медична та фізична реабілітація, фізична та спортивна реабілітація, спортивні тренування. На кожному етапі визначаються завдання, які коригуються в процесі моніторингу стану спортсмена. Розробка програми фізичної терапії передбачає детальний огляд, що включає обстеження, пальпацію, визначення м'язового тонусу, температури шкіри, обсягу рухів і чутливості, аналіз механізму травми та специфіки виду спорту. Після цього формується індивідуальний план реабілітації. Головна мета цієї програми – якомога швидше повернути спортсмена до звичної діяльності</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[16]</w:t>
      </w:r>
    </w:p>
    <w:p w14:paraId="11201FAC"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Аналіз сучасних наукових досліджень показує тенденцію, за якою основну увагу при відновленні спортсменів після травм зосереджено на стаціонарному етапі медичної реабілітації, а поліклінічний етап відновлення згадується лише зрідка.</w:t>
      </w:r>
    </w:p>
    <w:p w14:paraId="186BB339"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Алгоритм відновлення має враховувати набір необхідних заходів, час їх застосування, а також склад осіб, які беруть участь у процесі. До них належать пацієнт, лікар, фізіотерапевт, тренер, які працюють в рамках реабілітаційної групи.</w:t>
      </w:r>
    </w:p>
    <w:p w14:paraId="76C74BD9"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Алгоритм медичної та фізичної терапії повинний базуватися на п'яти основних принципах, що забезпечують швидке повернення спортсмена до тренувань і змагань:</w:t>
      </w:r>
    </w:p>
    <w:p w14:paraId="56B5C23C" w14:textId="77777777" w:rsidR="00DD0ABA" w:rsidRPr="00BE6D8C" w:rsidRDefault="00DD0ABA" w:rsidP="00DD0ABA">
      <w:pPr>
        <w:numPr>
          <w:ilvl w:val="0"/>
          <w:numId w:val="2"/>
        </w:numP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Терміновість. Включає надання першої медичної допомоги, лікувально-діагностичні заходи, кваліфіковане розв'язання експертних питань, а також необхідність термінової госпіталізації, якщо це потрібно.</w:t>
      </w:r>
    </w:p>
    <w:p w14:paraId="15E9621F" w14:textId="77777777" w:rsidR="00DD0ABA" w:rsidRPr="00BE6D8C" w:rsidRDefault="00DD0ABA" w:rsidP="00DD0ABA">
      <w:pPr>
        <w:numPr>
          <w:ilvl w:val="0"/>
          <w:numId w:val="2"/>
        </w:numP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Етапність. Кожен спортсмен проходить три етапи реабілітації: медичний і фізичний, фізичний і спортивний, спортивний і тренувальний.</w:t>
      </w:r>
    </w:p>
    <w:p w14:paraId="35660F70" w14:textId="77777777" w:rsidR="00DD0ABA" w:rsidRPr="00BE6D8C" w:rsidRDefault="00DD0ABA" w:rsidP="00DD0ABA">
      <w:pPr>
        <w:numPr>
          <w:ilvl w:val="0"/>
          <w:numId w:val="2"/>
        </w:numP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Комплексний підхід. Включає в себе використання патогенетично обґрунтованих біомедичних та педагогічних методів відновлення, таких як консервативне і оперативне лікування, спеціальні дієти, фізична терапія та психотерапія.</w:t>
      </w:r>
    </w:p>
    <w:p w14:paraId="276AFCCD" w14:textId="77777777" w:rsidR="00DD0ABA" w:rsidRPr="00BE6D8C" w:rsidRDefault="00DD0ABA" w:rsidP="00DD0ABA">
      <w:pPr>
        <w:numPr>
          <w:ilvl w:val="0"/>
          <w:numId w:val="2"/>
        </w:numP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lastRenderedPageBreak/>
        <w:t>Індивідуалізація. Методи відновлення та програми реабілітації повинні підбиратися для кожного спортсмена окремо, з урахуванням характеру травми, термінів її виникнення, віку, статі, кваліфікації тощо.</w:t>
      </w:r>
    </w:p>
    <w:p w14:paraId="4E711864" w14:textId="77777777" w:rsidR="00DD0ABA" w:rsidRPr="00BE6D8C" w:rsidRDefault="00DD0ABA" w:rsidP="00DD0ABA">
      <w:pPr>
        <w:numPr>
          <w:ilvl w:val="0"/>
          <w:numId w:val="2"/>
        </w:numPr>
        <w:spacing w:after="0" w:line="360" w:lineRule="auto"/>
        <w:ind w:left="0"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Дозованість. На всіх етапах реабілітації, фізичної та спортивної підготовки необхідно дотримуватися принципу дозованої оптимізації фізичних навантажень</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[17]</w:t>
      </w:r>
    </w:p>
    <w:p w14:paraId="63C19EF3"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Поєднання цих методів і принципів дозволяє ефективно створювати індивідуальні програми фізичної терапії. Сучасна фізична терапія знаходиться на етапі розвитку методології, що дає можливість використовувати новітні наукові розробки для відновлення спортсменів після травм.</w:t>
      </w:r>
    </w:p>
    <w:p w14:paraId="15FBBC54"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Отже, сучасний професійний спорт, хоч і є вершиною людських можливостей, супроводжується високим рівнем травматизму, що суттєво впливає на здоров'я та кар'єру спортсменів. Спортивні травми, зокрема ушкодження опорно-рухового апарату, є однією з головних причин дострокового завершення спортивної кар'єри. Профілактика та ефективне відновлення після травм є ключовими аспектами для збереження здоров'я та забезпечення високих спортивних результатів. Система реабілітації повинна враховувати індивідуальні потреби спортсменів та включати комплексний підхід, що поєднує фізіотерапію, тренування та психологічну підтримку, забезпечуючи швидке відновлення та повернення до високої спортивної працездатності</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[18]</w:t>
      </w:r>
    </w:p>
    <w:p w14:paraId="75749324" w14:textId="77777777" w:rsidR="00DD0ABA" w:rsidRDefault="00DD0ABA" w:rsidP="00DD0ABA">
      <w:pPr>
        <w:spacing w:after="0" w:line="480" w:lineRule="auto"/>
        <w:ind w:firstLine="709"/>
        <w:jc w:val="both"/>
        <w:rPr>
          <w:rFonts w:ascii="Times New Roman" w:eastAsia="Times New Roman" w:hAnsi="Times New Roman" w:cs="Times New Roman"/>
          <w:color w:val="000000"/>
          <w:sz w:val="28"/>
          <w:szCs w:val="28"/>
          <w:lang w:val="uk-UA"/>
        </w:rPr>
      </w:pPr>
    </w:p>
    <w:p w14:paraId="143DC7DD" w14:textId="77777777" w:rsidR="00DD0ABA" w:rsidRDefault="00DD0ABA" w:rsidP="00DD0ABA">
      <w:pPr>
        <w:pStyle w:val="2"/>
        <w:spacing w:before="0" w:line="360" w:lineRule="auto"/>
        <w:ind w:firstLine="709"/>
        <w:jc w:val="both"/>
        <w:rPr>
          <w:rFonts w:ascii="Times New Roman" w:eastAsia="Times New Roman" w:hAnsi="Times New Roman" w:cs="Times New Roman"/>
          <w:color w:val="000000"/>
          <w:sz w:val="28"/>
          <w:szCs w:val="28"/>
          <w:lang w:val="uk-UA"/>
        </w:rPr>
      </w:pPr>
      <w:bookmarkStart w:id="2" w:name="_Toc199186361"/>
      <w:r>
        <w:rPr>
          <w:rFonts w:ascii="Times New Roman" w:eastAsia="Times New Roman" w:hAnsi="Times New Roman" w:cs="Times New Roman"/>
          <w:b/>
          <w:color w:val="000000"/>
          <w:sz w:val="28"/>
          <w:szCs w:val="28"/>
          <w:lang w:val="uk-UA"/>
        </w:rPr>
        <w:t xml:space="preserve">1.2 </w:t>
      </w:r>
      <w:r w:rsidRPr="00BE6D8C">
        <w:rPr>
          <w:rFonts w:ascii="Times New Roman" w:eastAsia="Times New Roman" w:hAnsi="Times New Roman" w:cs="Times New Roman"/>
          <w:b/>
          <w:color w:val="000000"/>
          <w:sz w:val="28"/>
          <w:szCs w:val="28"/>
          <w:lang w:val="uk-UA"/>
        </w:rPr>
        <w:t>Сучасні уявлення про патогенетичні механізми розвитку та клінічні прояви розриву або розтягнення стабілізуючих зв'язок колінного травматичних ушкоджень стабілізуючих зв'язок колінного суглоба</w:t>
      </w:r>
      <w:bookmarkEnd w:id="2"/>
      <w:r w:rsidRPr="00BE6D8C">
        <w:rPr>
          <w:rFonts w:ascii="Times New Roman" w:eastAsia="Times New Roman" w:hAnsi="Times New Roman" w:cs="Times New Roman"/>
          <w:b/>
          <w:color w:val="000000"/>
          <w:sz w:val="28"/>
          <w:szCs w:val="28"/>
          <w:lang w:val="uk-UA"/>
        </w:rPr>
        <w:t xml:space="preserve"> </w:t>
      </w:r>
    </w:p>
    <w:p w14:paraId="21291F76" w14:textId="77777777" w:rsidR="00DD0ABA" w:rsidRPr="00BE6D8C" w:rsidRDefault="00DD0ABA" w:rsidP="00DD0ABA">
      <w:pPr>
        <w:spacing w:after="0" w:line="480" w:lineRule="auto"/>
        <w:ind w:firstLine="709"/>
        <w:jc w:val="both"/>
        <w:rPr>
          <w:rFonts w:ascii="Times New Roman" w:eastAsia="Times New Roman" w:hAnsi="Times New Roman" w:cs="Times New Roman"/>
          <w:color w:val="000000"/>
          <w:sz w:val="28"/>
          <w:szCs w:val="28"/>
          <w:lang w:val="uk-UA"/>
        </w:rPr>
      </w:pPr>
    </w:p>
    <w:p w14:paraId="41A8B1DB"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 xml:space="preserve">Пошкодження та розтягнення зв'язок колінного суглоба є одними з найпоширеніших травм серед осіб, які активно займаються спортом, а також серед тих, хто зазнає побутових травм. Найчастіше ці травми виникають </w:t>
      </w:r>
      <w:r w:rsidRPr="00BE6D8C">
        <w:rPr>
          <w:rFonts w:ascii="Times New Roman" w:eastAsia="Times New Roman" w:hAnsi="Times New Roman" w:cs="Times New Roman"/>
          <w:color w:val="000000"/>
          <w:sz w:val="28"/>
          <w:szCs w:val="28"/>
          <w:lang w:val="uk-UA"/>
        </w:rPr>
        <w:lastRenderedPageBreak/>
        <w:t xml:space="preserve">внаслідок надмірної рухливості суглоба, сильних ударів або тиску на гомілку, що може статися при різких рухах, падіннях або неконтрольованих маневрах під час активних навантажень. </w:t>
      </w:r>
      <w:r w:rsidRPr="00BE6D8C">
        <w:rPr>
          <w:rFonts w:ascii="Times New Roman" w:eastAsia="Times New Roman" w:hAnsi="Times New Roman" w:cs="Times New Roman"/>
          <w:color w:val="000000"/>
          <w:sz w:val="28"/>
          <w:szCs w:val="28"/>
          <w:highlight w:val="white"/>
          <w:lang w:val="uk-UA"/>
        </w:rPr>
        <w:t>Іншою причиною травми є боковий удар в коліно, який часто наноситься в контактних видах спорту (футбол, баскетбол, волейбол тощо) та при ДТП (</w:t>
      </w:r>
      <w:r>
        <w:rPr>
          <w:rFonts w:ascii="Times New Roman" w:eastAsia="Times New Roman" w:hAnsi="Times New Roman" w:cs="Times New Roman"/>
          <w:color w:val="000000"/>
          <w:sz w:val="28"/>
          <w:szCs w:val="28"/>
          <w:highlight w:val="white"/>
          <w:lang w:val="uk-UA"/>
        </w:rPr>
        <w:t>р</w:t>
      </w:r>
      <w:r w:rsidRPr="00BE6D8C">
        <w:rPr>
          <w:rFonts w:ascii="Times New Roman" w:eastAsia="Times New Roman" w:hAnsi="Times New Roman" w:cs="Times New Roman"/>
          <w:color w:val="000000"/>
          <w:sz w:val="28"/>
          <w:szCs w:val="28"/>
          <w:highlight w:val="white"/>
          <w:lang w:val="uk-UA"/>
        </w:rPr>
        <w:t>ис. 1.3).</w:t>
      </w:r>
    </w:p>
    <w:p w14:paraId="7FBBFD0A" w14:textId="77777777" w:rsidR="00DD0ABA" w:rsidRDefault="00DD0ABA" w:rsidP="00DD0ABA">
      <w:pP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6E90AD55" wp14:editId="3F567783">
            <wp:extent cx="3830288" cy="2154691"/>
            <wp:effectExtent l="0" t="0" r="0" b="0"/>
            <wp:docPr id="10" name="image2.jpg" descr="Механізм пошкодження передньої хрестоподібної зв’язки "/>
            <wp:cNvGraphicFramePr/>
            <a:graphic xmlns:a="http://schemas.openxmlformats.org/drawingml/2006/main">
              <a:graphicData uri="http://schemas.openxmlformats.org/drawingml/2006/picture">
                <pic:pic xmlns:pic="http://schemas.openxmlformats.org/drawingml/2006/picture">
                  <pic:nvPicPr>
                    <pic:cNvPr id="0" name="image2.jpg" descr="Механізм пошкодження передньої хрестоподібної зв’язки "/>
                    <pic:cNvPicPr preferRelativeResize="0"/>
                  </pic:nvPicPr>
                  <pic:blipFill>
                    <a:blip r:embed="rId7"/>
                    <a:srcRect/>
                    <a:stretch>
                      <a:fillRect/>
                    </a:stretch>
                  </pic:blipFill>
                  <pic:spPr>
                    <a:xfrm>
                      <a:off x="0" y="0"/>
                      <a:ext cx="3830288" cy="2154691"/>
                    </a:xfrm>
                    <a:prstGeom prst="rect">
                      <a:avLst/>
                    </a:prstGeom>
                    <a:ln/>
                  </pic:spPr>
                </pic:pic>
              </a:graphicData>
            </a:graphic>
          </wp:inline>
        </w:drawing>
      </w:r>
    </w:p>
    <w:p w14:paraId="69E76AB5" w14:textId="77777777" w:rsidR="00DD0ABA" w:rsidRDefault="00DD0ABA" w:rsidP="00DD0ABA">
      <w:pP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1.3 – Причини травм</w:t>
      </w:r>
    </w:p>
    <w:p w14:paraId="6DF5882E" w14:textId="77777777" w:rsidR="00DD0ABA" w:rsidRDefault="00DD0ABA" w:rsidP="00DD0ABA">
      <w:pPr>
        <w:spacing w:after="0" w:line="360" w:lineRule="auto"/>
        <w:ind w:firstLine="709"/>
        <w:jc w:val="center"/>
        <w:rPr>
          <w:rFonts w:ascii="Times New Roman" w:eastAsia="Times New Roman" w:hAnsi="Times New Roman" w:cs="Times New Roman"/>
          <w:color w:val="000000"/>
          <w:sz w:val="28"/>
          <w:szCs w:val="28"/>
        </w:rPr>
      </w:pPr>
    </w:p>
    <w:p w14:paraId="7F763229"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Крім того, подібні пошкодження можуть відбуватися й у звичайному житті, наприклад, при випадкових травмах у побуті. Хоча частіше за все пошкодження зв'язок коліна мають спортсмени, але й для звичайних людей це не є рідкісною проблемою</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[19]</w:t>
      </w:r>
    </w:p>
    <w:p w14:paraId="746F4CFF"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Розтягнення зв’язок колінного суглоба – це травматичне пошкодження сполучних тканин, яке може мати різні рівні складності. Залежно від ступеня тяжкості, виділяють три основні форми цього пошкодження.</w:t>
      </w:r>
    </w:p>
    <w:p w14:paraId="6CE9C773" w14:textId="77777777" w:rsidR="00DD0ABA" w:rsidRDefault="00DD0ABA" w:rsidP="00DD0ABA">
      <w:pPr>
        <w:pStyle w:val="a7"/>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Легка (І ступінь) – характеризується мікропошкодженням окремих волокон або невеликих ділянок зв’язкового апарату. Такий вид розтягнення зазвичай не спричиняє критичних порушень у функціональності колінного суглоба, хоча може супроводжуватися незначним болем і легким набряком. Незважаючи на мінімальні симптоми, для повного відновлення необхідний щадний режим активності та комплекс реабілітаційних заходів.</w:t>
      </w:r>
    </w:p>
    <w:p w14:paraId="5F956782" w14:textId="77777777" w:rsidR="00DD0ABA" w:rsidRDefault="00DD0ABA" w:rsidP="00DD0ABA">
      <w:pPr>
        <w:pStyle w:val="a7"/>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 xml:space="preserve">Середній (ІІ ступінь) – у цьому випадку відбувається частковий розрив зв’язкових волокон, що вже суттєво впливає на стабільність коліна. </w:t>
      </w:r>
      <w:r w:rsidRPr="00BE6D8C">
        <w:rPr>
          <w:rFonts w:ascii="Times New Roman" w:eastAsia="Times New Roman" w:hAnsi="Times New Roman" w:cs="Times New Roman"/>
          <w:color w:val="000000"/>
          <w:sz w:val="28"/>
          <w:szCs w:val="28"/>
          <w:lang w:val="uk-UA"/>
        </w:rPr>
        <w:lastRenderedPageBreak/>
        <w:t>Травма викликає сильні больові відчуття, набряк і обмеження рухливості. Людина може відчувати нестійкість у суглобі, особливо при спробі спиратися на травмовану ногу. Для відновлення необхідний більш тривалий період лікування, який включає іммобілізацію, фізіотерапію та спеціальні вправи.</w:t>
      </w:r>
    </w:p>
    <w:p w14:paraId="01B0D340" w14:textId="77777777" w:rsidR="00DD0ABA" w:rsidRPr="00BE6D8C" w:rsidRDefault="00DD0ABA" w:rsidP="00DD0ABA">
      <w:pPr>
        <w:pStyle w:val="a7"/>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Важкий (ІІІ ступінь) – це найсерйозніша форма пошкодження, яка супроводжується повним розривом зв’язок. Внаслідок цього колінний суглоб втрачає стабільність, а сам процес руху стає болісним або взагалі неможливим. Такі ушкодження часто супроводжуються супутніми травмами, зокрема розривами менісків або пошкодженням суглобового хряща. Лікування в більшості випадків потребує хірургічного втручання, після чого необхідний тривалий реабілітаційний курс.</w:t>
      </w:r>
    </w:p>
    <w:p w14:paraId="77A4FCBD"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sz w:val="28"/>
          <w:szCs w:val="28"/>
          <w:lang w:val="uk-UA"/>
        </w:rPr>
        <w:t>Кожен ступінь розтягнення зв’язок вимагає відповідного підходу до лікування та відновлення, а рання діагностика допомагає уникнути ускладнень і прискорити процес регенерації тканин</w:t>
      </w:r>
      <w:r>
        <w:rPr>
          <w:rFonts w:ascii="Times New Roman" w:eastAsia="Times New Roman" w:hAnsi="Times New Roman" w:cs="Times New Roman"/>
          <w:sz w:val="28"/>
          <w:szCs w:val="28"/>
          <w:lang w:val="uk-UA"/>
        </w:rPr>
        <w:t>.</w:t>
      </w:r>
      <w:r w:rsidRPr="00BE6D8C">
        <w:rPr>
          <w:rFonts w:ascii="Times New Roman" w:eastAsia="Times New Roman" w:hAnsi="Times New Roman" w:cs="Times New Roman"/>
          <w:color w:val="000000"/>
          <w:sz w:val="28"/>
          <w:szCs w:val="28"/>
          <w:lang w:val="uk-UA"/>
        </w:rPr>
        <w:t xml:space="preserve"> [20]</w:t>
      </w:r>
    </w:p>
    <w:p w14:paraId="0F80CB3D"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Симптоми пошкодження зв’язок колінного суглоба можуть значно варіюватися залежно від типу травми, ступеня пошкодження та локалізації ушкодженого зв’язкового апарату. Основними видами пошкоджень є травми зовнішньої бічної зв’язки, внутрішньої бічної зв’язки, а також передньої та задньої хрестоподібних зв’язок.</w:t>
      </w:r>
    </w:p>
    <w:p w14:paraId="5B018ED8"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При пошкодженні зовнішньої бічної зв’язки (латеральної колатеральної зв’язки) пацієнти зазвичай відчувають різкий біль у зовнішній частині коліна. Біль посилюється при спробі відхилити гомілку всередину або при активному русі. Нерідко виникає припухлість у ділянці ушкодження, а у випадках середнього або тяжкого ступеня пошкодження може з’явитися нестабільність колінного суглоба. Такий стан призводить до труднощів при ходьбі, особливо на нерівних поверхнях. При пальпації лікар може виявити локальну болючість уздовж зв’язки, а також можливе незначне підвищення температури шкіри в ураженій області</w:t>
      </w:r>
      <w:r>
        <w:rPr>
          <w:rFonts w:ascii="Times New Roman" w:eastAsia="Times New Roman" w:hAnsi="Times New Roman" w:cs="Times New Roman"/>
          <w:sz w:val="28"/>
          <w:szCs w:val="28"/>
          <w:lang w:val="uk-UA"/>
        </w:rPr>
        <w:t>.</w:t>
      </w:r>
      <w:r w:rsidRPr="00BE6D8C">
        <w:rPr>
          <w:rFonts w:ascii="Times New Roman" w:eastAsia="Times New Roman" w:hAnsi="Times New Roman" w:cs="Times New Roman"/>
          <w:sz w:val="28"/>
          <w:szCs w:val="28"/>
          <w:lang w:val="uk-UA"/>
        </w:rPr>
        <w:t xml:space="preserve"> [21]</w:t>
      </w:r>
    </w:p>
    <w:p w14:paraId="65D1CA56"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lastRenderedPageBreak/>
        <w:t>При пошкодженні внутрішньої бічної зв’язки (медіальної колатеральної зв’язки) спостерігається набряк внутрішньої частини колінного суглоба, який може збільшуватися в процесі руху. Пацієнти часто скаржаться на біль, що посилюється при спробі відхилити гомілку назовні. У важких випадках можлива значна нестабільність коліна, що ускладнює опору на пошкоджену кінцівку. Також характерним є біль під час пальпації ураженої ділянки. При сильному розриві зв’язки може відбуватися крововилив у порожнину суглоба (гемартроз), що ще більше обмежує рухливість і викликає відчуття розпирання в коліні.</w:t>
      </w:r>
    </w:p>
    <w:p w14:paraId="3C4C253A"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Пошкодження передньої хрестоподібної зв’язки супроводжується раптовим різким болем у коліні, що часто виникає під час спортивних занять або різких змін напряму руху. Багато пацієнтів описують відчуття «підкосу» або нестабільності ноги. Часто спостерігається набряк, що збільшується протягом декількох годин після травми через скупчення внутрішньосуглобової рідини або крові. В окремих випадках чути характерний хрускіт у момент травми. Рухливість коліна значно обмежується, а спроба навантаження викликає інтенсивний біль</w:t>
      </w:r>
      <w:r>
        <w:rPr>
          <w:rFonts w:ascii="Times New Roman" w:eastAsia="Times New Roman" w:hAnsi="Times New Roman" w:cs="Times New Roman"/>
          <w:sz w:val="28"/>
          <w:szCs w:val="28"/>
          <w:lang w:val="uk-UA"/>
        </w:rPr>
        <w:t>.</w:t>
      </w:r>
      <w:r w:rsidRPr="00BE6D8C">
        <w:rPr>
          <w:rFonts w:ascii="Times New Roman" w:eastAsia="Times New Roman" w:hAnsi="Times New Roman" w:cs="Times New Roman"/>
          <w:sz w:val="28"/>
          <w:szCs w:val="28"/>
          <w:lang w:val="uk-UA"/>
        </w:rPr>
        <w:t xml:space="preserve"> [22]</w:t>
      </w:r>
    </w:p>
    <w:p w14:paraId="503CEFB2" w14:textId="77777777"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Пошкодження задньої хрестоподібної зв’язки є менш поширеним, проте не менш серйозним. Симптоматика включає біль у глибоких відділах коліна, що посилюється при русі вниз по сходах або при вставанні з положення сидячи. Пацієнти можуть відзначати нестабільність коліна, яка проявляється підкошуванням при ходьбі. Набряк при таких ушкодженнях розвивається поступово, що ускладнює ранню діагностику. У важких випадках можливе порушення нормальної біомеханіки колінного суглоба, що призводить до патологічного зміщення гомілки назад.</w:t>
      </w:r>
    </w:p>
    <w:p w14:paraId="24B2EFA4" w14:textId="7541DCED" w:rsidR="00DD0ABA" w:rsidRPr="00BE6D8C" w:rsidRDefault="00DD0ABA" w:rsidP="00DD0ABA">
      <w:pPr>
        <w:spacing w:after="0" w:line="360" w:lineRule="auto"/>
        <w:ind w:firstLine="709"/>
        <w:jc w:val="both"/>
        <w:rPr>
          <w:rFonts w:ascii="Times New Roman" w:eastAsia="Times New Roman" w:hAnsi="Times New Roman" w:cs="Times New Roman"/>
          <w:sz w:val="28"/>
          <w:szCs w:val="28"/>
          <w:lang w:val="uk-UA"/>
        </w:rPr>
      </w:pPr>
      <w:r w:rsidRPr="00BE6D8C">
        <w:rPr>
          <w:rFonts w:ascii="Times New Roman" w:eastAsia="Times New Roman" w:hAnsi="Times New Roman" w:cs="Times New Roman"/>
          <w:sz w:val="28"/>
          <w:szCs w:val="28"/>
          <w:lang w:val="uk-UA"/>
        </w:rPr>
        <w:t>Оскільки кожен тип пошкодження супроводжується певними характерними симптомами, доцільно представити їх у більш структурованій формі. Це дозволить швидко оцінити стан пацієнта та визначити можливий тип травми. У таблиці 1.1 узагальнено основні симптоми, які спостерігаються при пошкодженні різних зв'язок.</w:t>
      </w:r>
    </w:p>
    <w:p w14:paraId="7FA01E19"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lastRenderedPageBreak/>
        <w:t>Таблиця 1.1 - Основні симптоми пошкоджень різних зв'язок</w:t>
      </w: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76"/>
        <w:gridCol w:w="6768"/>
      </w:tblGrid>
      <w:tr w:rsidR="00DD0ABA" w:rsidRPr="00BE6D8C" w14:paraId="3C4B98D3" w14:textId="77777777" w:rsidTr="00A41597">
        <w:tc>
          <w:tcPr>
            <w:tcW w:w="2576" w:type="dxa"/>
          </w:tcPr>
          <w:p w14:paraId="3CAF95C6" w14:textId="77777777" w:rsidR="00DD0ABA" w:rsidRPr="00BE6D8C" w:rsidRDefault="00DD0ABA" w:rsidP="00A41597">
            <w:pPr>
              <w:spacing w:line="276" w:lineRule="auto"/>
              <w:jc w:val="center"/>
              <w:rPr>
                <w:rFonts w:ascii="Times New Roman" w:eastAsia="Times New Roman" w:hAnsi="Times New Roman" w:cs="Times New Roman"/>
                <w:b/>
                <w:color w:val="000000"/>
                <w:sz w:val="28"/>
                <w:szCs w:val="28"/>
                <w:lang w:val="uk-UA"/>
              </w:rPr>
            </w:pPr>
            <w:r w:rsidRPr="00BE6D8C">
              <w:rPr>
                <w:rFonts w:ascii="Times New Roman" w:eastAsia="Times New Roman" w:hAnsi="Times New Roman" w:cs="Times New Roman"/>
                <w:b/>
                <w:color w:val="000000"/>
                <w:sz w:val="28"/>
                <w:szCs w:val="28"/>
                <w:lang w:val="uk-UA"/>
              </w:rPr>
              <w:t>Тип пошкодженого зв'язка</w:t>
            </w:r>
          </w:p>
        </w:tc>
        <w:tc>
          <w:tcPr>
            <w:tcW w:w="6768" w:type="dxa"/>
            <w:vAlign w:val="center"/>
          </w:tcPr>
          <w:p w14:paraId="3711ADF6" w14:textId="77777777" w:rsidR="00DD0ABA" w:rsidRPr="00BE6D8C" w:rsidRDefault="00DD0ABA" w:rsidP="00A41597">
            <w:pPr>
              <w:spacing w:line="276" w:lineRule="auto"/>
              <w:jc w:val="center"/>
              <w:rPr>
                <w:rFonts w:ascii="Times New Roman" w:eastAsia="Times New Roman" w:hAnsi="Times New Roman" w:cs="Times New Roman"/>
                <w:b/>
                <w:color w:val="000000"/>
                <w:sz w:val="28"/>
                <w:szCs w:val="28"/>
                <w:lang w:val="uk-UA"/>
              </w:rPr>
            </w:pPr>
            <w:r w:rsidRPr="00BE6D8C">
              <w:rPr>
                <w:rFonts w:ascii="Times New Roman" w:eastAsia="Times New Roman" w:hAnsi="Times New Roman" w:cs="Times New Roman"/>
                <w:b/>
                <w:color w:val="000000"/>
                <w:sz w:val="28"/>
                <w:szCs w:val="28"/>
                <w:lang w:val="uk-UA"/>
              </w:rPr>
              <w:t>Симптоми</w:t>
            </w:r>
          </w:p>
        </w:tc>
      </w:tr>
      <w:tr w:rsidR="00DD0ABA" w:rsidRPr="00BE6D8C" w14:paraId="5F477BF4" w14:textId="77777777" w:rsidTr="00A41597">
        <w:tc>
          <w:tcPr>
            <w:tcW w:w="2576" w:type="dxa"/>
          </w:tcPr>
          <w:p w14:paraId="3B32A40E"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Зовнішня бічна зв'язка</w:t>
            </w:r>
          </w:p>
        </w:tc>
        <w:tc>
          <w:tcPr>
            <w:tcW w:w="6768" w:type="dxa"/>
          </w:tcPr>
          <w:p w14:paraId="20CC78EA"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Різкий біль, посилюється при відхиленні гомілки всередину, обмеження рухливості, розбовтаність колінного суглоба при важких травмах</w:t>
            </w:r>
          </w:p>
        </w:tc>
      </w:tr>
      <w:tr w:rsidR="00DD0ABA" w:rsidRPr="00DD0ABA" w14:paraId="663A7F2F" w14:textId="77777777" w:rsidTr="00A41597">
        <w:tc>
          <w:tcPr>
            <w:tcW w:w="2576" w:type="dxa"/>
          </w:tcPr>
          <w:p w14:paraId="546B1C67"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Внутрішня бічна зв'язка</w:t>
            </w:r>
          </w:p>
        </w:tc>
        <w:tc>
          <w:tcPr>
            <w:tcW w:w="6768" w:type="dxa"/>
          </w:tcPr>
          <w:p w14:paraId="2C2D7050"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Набряк суглоба, біль під час пальпації, скупчення крові, відхилення гомілки від нормального положення, обмеження рухливості</w:t>
            </w:r>
          </w:p>
        </w:tc>
      </w:tr>
      <w:tr w:rsidR="00DD0ABA" w:rsidRPr="00BE6D8C" w14:paraId="3F671161" w14:textId="77777777" w:rsidTr="00A41597">
        <w:tc>
          <w:tcPr>
            <w:tcW w:w="2576" w:type="dxa"/>
          </w:tcPr>
          <w:p w14:paraId="6D2E0AE8"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Хрестоподібні зв'язки</w:t>
            </w:r>
          </w:p>
        </w:tc>
        <w:tc>
          <w:tcPr>
            <w:tcW w:w="6768" w:type="dxa"/>
          </w:tcPr>
          <w:p w14:paraId="1A656882" w14:textId="77777777" w:rsidR="00DD0ABA" w:rsidRPr="00BE6D8C" w:rsidRDefault="00DD0ABA" w:rsidP="00A41597">
            <w:pPr>
              <w:spacing w:line="276" w:lineRule="auto"/>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Виражений біль, набряк, кров у суглобовій порожнині, рухливість суглоба в передньо-задньому напрямку в залежності від тяжкості ушкодження</w:t>
            </w:r>
          </w:p>
        </w:tc>
      </w:tr>
    </w:tbl>
    <w:p w14:paraId="70127B05"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10066548"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Всі ці травми потребують своєчасної діагностики та лікування. Адже недооцінка травм зв'язок коліна може призвести до хронічних болів, обмеження функціональності суглоба та навіть інвалідності в майбутньому. Лікування таких пошкоджень залежить від ступеня тяжкості травми і може включати як консервативні методи лікування (наприклад, медикаментозну терапію, фізіотерапію), так і хірургічні втручання в разі серйозних ушкоджень</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[23]</w:t>
      </w:r>
    </w:p>
    <w:p w14:paraId="60683560"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Патофізіологічні зміни в колінному суглобі є результатом багатьох захворювань і травм, що порушують нормальну функцію та структуру цього важливого суглоба. Колінний суглоб складається з кількох основних компонентів, серед яких кістки, хрящі, зв'язки, сухожилля та синовіальна рідина, кожен з яких відіграє ключову роль у його функціонуванні. Порушення в одному з цих компонентів може призвести до розвитку патофізіологічних змін, які в свою чергу викликають біль, обмеження рухливості та порушення функцій суглоба</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[24]</w:t>
      </w:r>
    </w:p>
    <w:p w14:paraId="18D482E3"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 xml:space="preserve">Основними причинами патофізіологічних змін у колінному суглобі є травми, інфекції, аутоімунні захворювання, дегенеративні зміни та запальні </w:t>
      </w:r>
      <w:r w:rsidRPr="00BE6D8C">
        <w:rPr>
          <w:rFonts w:ascii="Times New Roman" w:eastAsia="Times New Roman" w:hAnsi="Times New Roman" w:cs="Times New Roman"/>
          <w:color w:val="000000"/>
          <w:sz w:val="28"/>
          <w:szCs w:val="28"/>
          <w:lang w:val="uk-UA"/>
        </w:rPr>
        <w:lastRenderedPageBreak/>
        <w:t>процеси. Найбільш поширеним захворюванням є остеоартрит, який характеризується поступовим руйнуванням суглобового хряща, що призводить до болю, набряку та обмеження рухливості суглоба. Остеоартрит може виникати внаслідок природного старіння, травм або тривалих навантажень на суглоб. Коли хрящ зношується, кістки можуть тертися одна об одну, що призводить до додаткового пошкодження тканин і запалення. У відповідь на цей процес організм часто активує механізми відновлення, але в умовах тривалого запалення утворюються нові патологічні зміни в навколишніх тканинах, включаючи синовіальну оболонку та кісткову тканину</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[25]</w:t>
      </w:r>
    </w:p>
    <w:p w14:paraId="2BADFE3B"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Запальні процеси, зокрема в результаті артриту, також можуть мати великий вплив на колінний суглоб. У разі артриту, внаслідок порушення роботи імунної системи, розвивається запалення синовіальної оболонки суглоба. Це призводить до надмірної вироблення синовіальної рідини, що викликає набряк і біль. Запалення також може пошкоджувати хрящ та кістки, погіршуючи їх здатність виконувати свою функцію. Окрім артриту, інфекційний процес у суглобі (септичний артрит) може спричинити ще більш серйозні зміни, включаючи некроз тканин та порушення анатомії суглоба.</w:t>
      </w:r>
    </w:p>
    <w:p w14:paraId="4CFEE703"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Ще однією важливою патологією є пошкодження зв'язок, особливо передньої хрестоподібної зв'язки, яка є однією з основних стабілізаторів колінного суглоба. Розрив цієї зв'язки призводить до втрати стабільності в суглобі, що може викликати порушення його функціонування та сприяти розвитку вторинного остеоартриту. Пошкодження зв'язок зазвичай супроводжується запаленням та больовими відчуттями, що погіршують якість життя пацієнтів</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[26]</w:t>
      </w:r>
    </w:p>
    <w:p w14:paraId="69F1462A"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Не менш важливим аспектом є порушення нормального кровообігу в суглобових тканинах, що може статися в результаті травм чи хронічних захворювань. Недостатнє кровопостачання може призвести до погіршення живлення хряща, зниження його еластичності та здатності до регенерації, що лише посилює дегенеративні процеси.</w:t>
      </w:r>
    </w:p>
    <w:p w14:paraId="681D9E8F"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lastRenderedPageBreak/>
        <w:t>Розуміння факторів ризику, які можуть призвести до цих ушкоджень, є важливим аспектом для профілактики та лікування таких травм.</w:t>
      </w:r>
    </w:p>
    <w:p w14:paraId="5358C3F7"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Одним з основних факторів ризику є надмірне навантаження на колінний суглоб, що часто спостерігається в спорті. Спортивні вправи, які включають швидкі зміни напрямку, різкі зупинки або стрибки, створюють високі механічні навантаження на коліна, збільшуючи ймовірність розриву або розтягнення зв'язок. Ці навантаження можуть перевищити здатність тканин витримувати такі сили, що призводить до пошкодження зв'язок, що стабілізують колінний суглоб</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[27]</w:t>
      </w:r>
    </w:p>
    <w:p w14:paraId="0F62C9C7"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Крім того, індивідуальні фізіологічні особливості спортсмена можуть також бути факторами ризику. Неправильна техніка виконання рухів, недостатня розминка або неправильне розтягування перед тренуванням можуть збільшити ймовірність травм. Наприклад, слабкість м'язів, що оточують колінний суглоб, може призвести до недостатньої підтримки зв'язок, що також підвищує ризик пошкодження. У таких випадках зв'язки не здатні ефективно справлятися з навантаженням, що виникає під час спортивної діяльності.</w:t>
      </w:r>
    </w:p>
    <w:p w14:paraId="5BE3921C"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Також важливу роль відіграє вік спортсмена. Молодші атлети, як правило, мають більшу гнучкість та еластичність тканин, але з часом їх організм зазнає змін, що може знизити здатність до відновлення після навантажень. У старших спортсменів стабільність колінного суглоба може бути порушена через природні дегенеративні зміни в зв'язках і хрящах, що зменшує їх здатність витримувати стресові навантаження</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[28]</w:t>
      </w:r>
    </w:p>
    <w:p w14:paraId="44692C90"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Додатковим фактором ризику є неадекватне або недостатнє лікування попередніх травм. Спортивні травми, навіть легкі розтягнення або напруження зв'язок, можуть з часом привести до серйозніших ушкоджень, якщо не були належним чином реабілітовані. Це створює основу для повторних травм або більш серйозних ушкоджень у майбутньому. Тому своєчасне і якісне лікування важливе для уникнення подальших проблем.</w:t>
      </w:r>
    </w:p>
    <w:p w14:paraId="11DF7BD6"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lastRenderedPageBreak/>
        <w:t>У професійному спорті також велике значення має психологічний фактор. Страх перед повторною травмою або бажання повернутися до змагань якомога швидше може змусити спортсмена недооцінювати важливість реабілітації або неправильно виконувати фізичні навантаження, що підвищує ризик травм. Тренерський та медичний персонал повинні уважно стежити за психологічним станом атлетів і забезпечити їм належну підтримку</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[29]</w:t>
      </w:r>
    </w:p>
    <w:p w14:paraId="459E8D52"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Серед інших факторів ризику варто відзначити відсутність належного оснащення або техніки, яка б забезпечила додаткову підтримку коліна, а також неправильний вибір спортивного взуття. Невірно підібране взуття може негативно впливати на амортизацію навантажень, що йде через суглоб, що, у свою чергу, підвищує ймовірність травми.</w:t>
      </w:r>
    </w:p>
    <w:p w14:paraId="6EA04EB0"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BE6D8C">
        <w:rPr>
          <w:rFonts w:ascii="Times New Roman" w:eastAsia="Times New Roman" w:hAnsi="Times New Roman" w:cs="Times New Roman"/>
          <w:color w:val="000000"/>
          <w:sz w:val="28"/>
          <w:szCs w:val="28"/>
          <w:lang w:val="uk-UA"/>
        </w:rPr>
        <w:t>Отже, пошкодження зв'язок колінного суглоба є серйозною проблемою як для професійних спортсменів, так і для звичайних людей. Основними факторами ризику є</w:t>
      </w:r>
      <w:r>
        <w:rPr>
          <w:rFonts w:ascii="Times New Roman" w:eastAsia="Times New Roman" w:hAnsi="Times New Roman" w:cs="Times New Roman"/>
          <w:color w:val="000000"/>
          <w:sz w:val="28"/>
          <w:szCs w:val="28"/>
          <w:lang w:val="uk-UA"/>
        </w:rPr>
        <w:t>:</w:t>
      </w:r>
    </w:p>
    <w:p w14:paraId="16F7B638" w14:textId="77777777" w:rsidR="00DD0ABA" w:rsidRDefault="00DD0ABA" w:rsidP="00DD0ABA">
      <w:pPr>
        <w:pStyle w:val="a7"/>
        <w:numPr>
          <w:ilvl w:val="0"/>
          <w:numId w:val="4"/>
        </w:numPr>
        <w:spacing w:after="0" w:line="360" w:lineRule="auto"/>
        <w:jc w:val="both"/>
        <w:rPr>
          <w:rFonts w:ascii="Times New Roman" w:eastAsia="Times New Roman" w:hAnsi="Times New Roman" w:cs="Times New Roman"/>
          <w:color w:val="000000"/>
          <w:sz w:val="28"/>
          <w:szCs w:val="28"/>
          <w:lang w:val="uk-UA"/>
        </w:rPr>
      </w:pPr>
      <w:r w:rsidRPr="002A57D5">
        <w:rPr>
          <w:rFonts w:ascii="Times New Roman" w:eastAsia="Times New Roman" w:hAnsi="Times New Roman" w:cs="Times New Roman"/>
          <w:color w:val="000000"/>
          <w:sz w:val="28"/>
          <w:szCs w:val="28"/>
          <w:lang w:val="uk-UA"/>
        </w:rPr>
        <w:t xml:space="preserve">надмірне навантаження, </w:t>
      </w:r>
    </w:p>
    <w:p w14:paraId="3816349F" w14:textId="77777777" w:rsidR="00DD0ABA" w:rsidRDefault="00DD0ABA" w:rsidP="00DD0ABA">
      <w:pPr>
        <w:pStyle w:val="a7"/>
        <w:numPr>
          <w:ilvl w:val="0"/>
          <w:numId w:val="4"/>
        </w:numPr>
        <w:spacing w:after="0" w:line="360" w:lineRule="auto"/>
        <w:jc w:val="both"/>
        <w:rPr>
          <w:rFonts w:ascii="Times New Roman" w:eastAsia="Times New Roman" w:hAnsi="Times New Roman" w:cs="Times New Roman"/>
          <w:color w:val="000000"/>
          <w:sz w:val="28"/>
          <w:szCs w:val="28"/>
          <w:lang w:val="uk-UA"/>
        </w:rPr>
      </w:pPr>
      <w:r w:rsidRPr="002A57D5">
        <w:rPr>
          <w:rFonts w:ascii="Times New Roman" w:eastAsia="Times New Roman" w:hAnsi="Times New Roman" w:cs="Times New Roman"/>
          <w:color w:val="000000"/>
          <w:sz w:val="28"/>
          <w:szCs w:val="28"/>
          <w:lang w:val="uk-UA"/>
        </w:rPr>
        <w:t xml:space="preserve">неправильна техніка виконання рухів, </w:t>
      </w:r>
    </w:p>
    <w:p w14:paraId="46ED8D08" w14:textId="77777777" w:rsidR="00DD0ABA" w:rsidRDefault="00DD0ABA" w:rsidP="00DD0ABA">
      <w:pPr>
        <w:pStyle w:val="a7"/>
        <w:numPr>
          <w:ilvl w:val="0"/>
          <w:numId w:val="4"/>
        </w:numPr>
        <w:spacing w:after="0" w:line="360" w:lineRule="auto"/>
        <w:jc w:val="both"/>
        <w:rPr>
          <w:rFonts w:ascii="Times New Roman" w:eastAsia="Times New Roman" w:hAnsi="Times New Roman" w:cs="Times New Roman"/>
          <w:color w:val="000000"/>
          <w:sz w:val="28"/>
          <w:szCs w:val="28"/>
          <w:lang w:val="uk-UA"/>
        </w:rPr>
      </w:pPr>
      <w:r w:rsidRPr="002A57D5">
        <w:rPr>
          <w:rFonts w:ascii="Times New Roman" w:eastAsia="Times New Roman" w:hAnsi="Times New Roman" w:cs="Times New Roman"/>
          <w:color w:val="000000"/>
          <w:sz w:val="28"/>
          <w:szCs w:val="28"/>
          <w:lang w:val="uk-UA"/>
        </w:rPr>
        <w:t>недостатнє розминання</w:t>
      </w:r>
      <w:r>
        <w:rPr>
          <w:rFonts w:ascii="Times New Roman" w:eastAsia="Times New Roman" w:hAnsi="Times New Roman" w:cs="Times New Roman"/>
          <w:color w:val="000000"/>
          <w:sz w:val="28"/>
          <w:szCs w:val="28"/>
          <w:lang w:val="uk-UA"/>
        </w:rPr>
        <w:t>,</w:t>
      </w:r>
    </w:p>
    <w:p w14:paraId="22483A82" w14:textId="77777777" w:rsidR="00DD0ABA" w:rsidRDefault="00DD0ABA" w:rsidP="00DD0ABA">
      <w:pPr>
        <w:pStyle w:val="a7"/>
        <w:numPr>
          <w:ilvl w:val="0"/>
          <w:numId w:val="4"/>
        </w:numPr>
        <w:spacing w:after="0" w:line="360" w:lineRule="auto"/>
        <w:jc w:val="both"/>
        <w:rPr>
          <w:rFonts w:ascii="Times New Roman" w:eastAsia="Times New Roman" w:hAnsi="Times New Roman" w:cs="Times New Roman"/>
          <w:color w:val="000000"/>
          <w:sz w:val="28"/>
          <w:szCs w:val="28"/>
          <w:lang w:val="uk-UA"/>
        </w:rPr>
      </w:pPr>
      <w:r w:rsidRPr="002A57D5">
        <w:rPr>
          <w:rFonts w:ascii="Times New Roman" w:eastAsia="Times New Roman" w:hAnsi="Times New Roman" w:cs="Times New Roman"/>
          <w:color w:val="000000"/>
          <w:sz w:val="28"/>
          <w:szCs w:val="28"/>
          <w:lang w:val="uk-UA"/>
        </w:rPr>
        <w:t xml:space="preserve">фізіологічні особливості організму. </w:t>
      </w:r>
    </w:p>
    <w:p w14:paraId="47F95575" w14:textId="77777777" w:rsidR="00DD0ABA" w:rsidRPr="00BE6D8C"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A57D5">
        <w:rPr>
          <w:rFonts w:ascii="Times New Roman" w:eastAsia="Times New Roman" w:hAnsi="Times New Roman" w:cs="Times New Roman"/>
          <w:color w:val="000000"/>
          <w:sz w:val="28"/>
          <w:szCs w:val="28"/>
          <w:lang w:val="uk-UA"/>
        </w:rPr>
        <w:t xml:space="preserve">Спортивні травми, особливо у контактних видах спорту, часто стають причиною розтягнень або розривів зв'язок, що може призвести до значних порушень функціональності суглоба. </w:t>
      </w:r>
      <w:r w:rsidRPr="00BE6D8C">
        <w:rPr>
          <w:rFonts w:ascii="Times New Roman" w:eastAsia="Times New Roman" w:hAnsi="Times New Roman" w:cs="Times New Roman"/>
          <w:color w:val="000000"/>
          <w:sz w:val="28"/>
          <w:szCs w:val="28"/>
          <w:lang w:val="uk-UA"/>
        </w:rPr>
        <w:t>Окрім фізичних навантажень, важливим аспектом є своєчасне лікування попередніх травм, адже недооцінка травм може привести до хронічних болів і подальших ушкоджень</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[30] Крім того, психологічний фактор також відіграє важливу роль, оскільки спортсмени, прагнучи якнайшвидше повернутися до тренувань, можуть недооцінювати необхідність відновлення. Однак із правильним підходом до профілактики та лікування таких травм можна значно знизити їх ймовірність та забезпечити ефективне відновлення</w:t>
      </w:r>
      <w:r>
        <w:rPr>
          <w:rFonts w:ascii="Times New Roman" w:eastAsia="Times New Roman" w:hAnsi="Times New Roman" w:cs="Times New Roman"/>
          <w:color w:val="000000"/>
          <w:sz w:val="28"/>
          <w:szCs w:val="28"/>
          <w:lang w:val="uk-UA"/>
        </w:rPr>
        <w:t>.</w:t>
      </w:r>
      <w:r w:rsidRPr="00BE6D8C">
        <w:rPr>
          <w:rFonts w:ascii="Times New Roman" w:eastAsia="Times New Roman" w:hAnsi="Times New Roman" w:cs="Times New Roman"/>
          <w:color w:val="000000"/>
          <w:sz w:val="28"/>
          <w:szCs w:val="28"/>
          <w:lang w:val="uk-UA"/>
        </w:rPr>
        <w:t xml:space="preserve"> [31]</w:t>
      </w:r>
    </w:p>
    <w:p w14:paraId="4350473D" w14:textId="77777777" w:rsidR="00DD0ABA" w:rsidRPr="002947E1" w:rsidRDefault="00DD0ABA" w:rsidP="00DD0ABA">
      <w:pPr>
        <w:pStyle w:val="2"/>
        <w:spacing w:line="360" w:lineRule="auto"/>
        <w:ind w:firstLine="709"/>
        <w:jc w:val="both"/>
        <w:rPr>
          <w:rFonts w:ascii="Times New Roman" w:eastAsia="Times New Roman" w:hAnsi="Times New Roman" w:cs="Times New Roman"/>
          <w:b/>
          <w:color w:val="000000"/>
          <w:sz w:val="28"/>
          <w:szCs w:val="28"/>
          <w:lang w:val="uk-UA"/>
        </w:rPr>
      </w:pPr>
      <w:bookmarkStart w:id="3" w:name="_Toc199186362"/>
      <w:r>
        <w:rPr>
          <w:rFonts w:ascii="Times New Roman" w:eastAsia="Times New Roman" w:hAnsi="Times New Roman" w:cs="Times New Roman"/>
          <w:b/>
          <w:color w:val="000000"/>
          <w:sz w:val="28"/>
          <w:szCs w:val="28"/>
          <w:lang w:val="uk-UA"/>
        </w:rPr>
        <w:lastRenderedPageBreak/>
        <w:t>1.</w:t>
      </w:r>
      <w:r w:rsidRPr="002947E1">
        <w:rPr>
          <w:rFonts w:ascii="Times New Roman" w:eastAsia="Times New Roman" w:hAnsi="Times New Roman" w:cs="Times New Roman"/>
          <w:b/>
          <w:color w:val="000000"/>
          <w:sz w:val="28"/>
          <w:szCs w:val="28"/>
          <w:lang w:val="uk-UA"/>
        </w:rPr>
        <w:t>3</w:t>
      </w:r>
      <w:r>
        <w:rPr>
          <w:rFonts w:ascii="Times New Roman" w:eastAsia="Times New Roman" w:hAnsi="Times New Roman" w:cs="Times New Roman"/>
          <w:b/>
          <w:color w:val="000000"/>
          <w:sz w:val="28"/>
          <w:szCs w:val="28"/>
          <w:lang w:val="uk-UA"/>
        </w:rPr>
        <w:t xml:space="preserve"> </w:t>
      </w:r>
      <w:r w:rsidRPr="002947E1">
        <w:rPr>
          <w:rFonts w:ascii="Times New Roman" w:eastAsia="Times New Roman" w:hAnsi="Times New Roman" w:cs="Times New Roman"/>
          <w:b/>
          <w:color w:val="000000"/>
          <w:sz w:val="28"/>
          <w:szCs w:val="28"/>
          <w:lang w:val="uk-UA"/>
        </w:rPr>
        <w:t>Сучасні напрямки фізіотерапевтичних заходів відновлення спортсменів після розриву або розтягненні стабілізуючих зв'язок колінного суглоба</w:t>
      </w:r>
      <w:bookmarkEnd w:id="3"/>
      <w:r w:rsidRPr="002947E1">
        <w:rPr>
          <w:rFonts w:ascii="Times New Roman" w:eastAsia="Times New Roman" w:hAnsi="Times New Roman" w:cs="Times New Roman"/>
          <w:b/>
          <w:color w:val="000000"/>
          <w:sz w:val="28"/>
          <w:szCs w:val="28"/>
          <w:lang w:val="uk-UA"/>
        </w:rPr>
        <w:t xml:space="preserve">  </w:t>
      </w:r>
    </w:p>
    <w:p w14:paraId="79C9D1EA" w14:textId="77777777" w:rsidR="00DD0ABA" w:rsidRPr="002947E1" w:rsidRDefault="00DD0ABA" w:rsidP="00DD0ABA">
      <w:pPr>
        <w:spacing w:after="0" w:line="480" w:lineRule="auto"/>
        <w:ind w:firstLine="709"/>
        <w:jc w:val="both"/>
        <w:rPr>
          <w:rFonts w:ascii="Times New Roman" w:eastAsia="Times New Roman" w:hAnsi="Times New Roman" w:cs="Times New Roman"/>
          <w:color w:val="000000"/>
          <w:sz w:val="28"/>
          <w:szCs w:val="28"/>
          <w:lang w:val="uk-UA"/>
        </w:rPr>
      </w:pPr>
    </w:p>
    <w:p w14:paraId="4E86E748"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У процесі реабілітації спортсменів після артроскопічних операцій на колінному суглобі фізіотерапевтичні процедури виконують важливу роль, зокрема на ранніх етапах, надаючи потужний трофічний, протизапальний та знеболювальний ефект. Деякі з цих методів сприяють прискореній регенерації хрящової тканини. У наступних етапах фізіотерапія допомагає покращити обмінні та трофічні процеси в суглобах, підвищує еластичність м'язів та зв'язок, розширює амплітуду рухів, відновлює силу м'язів і функціональність суглоба. Лікувальний вплив фізичних факторів на організм після травм та операцій реалізується через нейрон-рефлекторні та гуморальні механізми, при цьому кожен фактор має свої специфічні особливості в процесі лікування. У ранньому післяопераційному періоді, при пошкодженнях менісків і зв'язок коліна, фізіотерапевти рекомендують застосовувати методи світлотерапії, зокрема інфрачервоне та ультрафіолетове випромінювання паравертебральних зон хребта та симетричної здорової нижньої кінцівки, починаючи з низьких біодоз і поступово збільшуючи експозицію</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[32]</w:t>
      </w:r>
    </w:p>
    <w:p w14:paraId="286396F0"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Світлотерапія – це метод лікування, який передбачає вплив яскравих потоків світла на організм. Такий вплив стимулює підвищене вироблення серотоніну, гормону, що відповідає за покращення настрою, і одночасно зменшується кількість мелатоніну, гормону, який сприяє сонливості та апатії. Яскраве світло також зміцнює імунітет, покращує здатність організму боротися з мікроорганізмами та вірусами, заспокоює нервову систему, знижує чутливість шкіри, лікує акне, зменшує набряки та покращує колір шкіри, усуваючи дрібні плями</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[33]</w:t>
      </w:r>
    </w:p>
    <w:p w14:paraId="0FA2509A"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Для полегшення болю після травм використовують діадинамотерапію (</w:t>
      </w:r>
      <w:r>
        <w:rPr>
          <w:rFonts w:ascii="Times New Roman" w:eastAsia="Times New Roman" w:hAnsi="Times New Roman" w:cs="Times New Roman"/>
          <w:color w:val="000000"/>
          <w:sz w:val="28"/>
          <w:szCs w:val="28"/>
          <w:lang w:val="uk-UA"/>
        </w:rPr>
        <w:t>р</w:t>
      </w:r>
      <w:r w:rsidRPr="002947E1">
        <w:rPr>
          <w:rFonts w:ascii="Times New Roman" w:eastAsia="Times New Roman" w:hAnsi="Times New Roman" w:cs="Times New Roman"/>
          <w:color w:val="000000"/>
          <w:sz w:val="28"/>
          <w:szCs w:val="28"/>
          <w:lang w:val="uk-UA"/>
        </w:rPr>
        <w:t xml:space="preserve">ис 1.4). Цей метод передбачає вплив постійними струмами з імпульсами напівсінусоїдної форми частотою 50 та 100 Гц. Існують два основні види </w:t>
      </w:r>
      <w:r w:rsidRPr="002947E1">
        <w:rPr>
          <w:rFonts w:ascii="Times New Roman" w:eastAsia="Times New Roman" w:hAnsi="Times New Roman" w:cs="Times New Roman"/>
          <w:color w:val="000000"/>
          <w:sz w:val="28"/>
          <w:szCs w:val="28"/>
          <w:lang w:val="uk-UA"/>
        </w:rPr>
        <w:lastRenderedPageBreak/>
        <w:t>діадинамічних струмів: однофазний і двофазний безперервний, а також різні їх модифікації, такі як переривчасті ритмічні струми, модульовані короткими чи довгими періодами. Ці струми, будучи постійними, стикаються з опором епідермісу, викликаючи збудження екстерорецепторів, що проявляється у вигляді печіння та поколювання під електродами, а також гіперемії через розширення судин та прискорення кровообігу. Зі збільшенням сили струму відбувається ритмічне збудження нервових і м'язових волокон, що активізує периферичний кровообіг і обмін речовин, що допомагає знижувати біль.</w:t>
      </w:r>
    </w:p>
    <w:p w14:paraId="60FAEE7F"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159C7414" w14:textId="77777777" w:rsidR="00DD0ABA" w:rsidRPr="002947E1"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2947E1">
        <w:rPr>
          <w:noProof/>
          <w:color w:val="000000"/>
          <w:lang w:val="uk-UA"/>
        </w:rPr>
        <w:drawing>
          <wp:inline distT="0" distB="0" distL="0" distR="0" wp14:anchorId="7333AA23" wp14:editId="201300D8">
            <wp:extent cx="5166710" cy="2104956"/>
            <wp:effectExtent l="0" t="0" r="0" b="0"/>
            <wp:docPr id="12" name="image1.jpg" descr="Диадинамотерапия - процедура в санатории Планета (Евпатория, Крым)"/>
            <wp:cNvGraphicFramePr/>
            <a:graphic xmlns:a="http://schemas.openxmlformats.org/drawingml/2006/main">
              <a:graphicData uri="http://schemas.openxmlformats.org/drawingml/2006/picture">
                <pic:pic xmlns:pic="http://schemas.openxmlformats.org/drawingml/2006/picture">
                  <pic:nvPicPr>
                    <pic:cNvPr id="0" name="image1.jpg" descr="Диадинамотерапия - процедура в санатории Планета (Евпатория, Крым)"/>
                    <pic:cNvPicPr preferRelativeResize="0"/>
                  </pic:nvPicPr>
                  <pic:blipFill>
                    <a:blip r:embed="rId8"/>
                    <a:srcRect/>
                    <a:stretch>
                      <a:fillRect/>
                    </a:stretch>
                  </pic:blipFill>
                  <pic:spPr>
                    <a:xfrm>
                      <a:off x="0" y="0"/>
                      <a:ext cx="5166710" cy="2104956"/>
                    </a:xfrm>
                    <a:prstGeom prst="rect">
                      <a:avLst/>
                    </a:prstGeom>
                    <a:ln/>
                  </pic:spPr>
                </pic:pic>
              </a:graphicData>
            </a:graphic>
          </wp:inline>
        </w:drawing>
      </w:r>
    </w:p>
    <w:p w14:paraId="2E1DD2FF" w14:textId="77777777" w:rsidR="00DD0ABA" w:rsidRPr="002947E1"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Рисунок 1.4 – Діадинамотерапія</w:t>
      </w:r>
    </w:p>
    <w:p w14:paraId="49344F29"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76CDBF84"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При ще більшому підвищенні сили струму викликається тетанічне скорочення м'язів. Болезаспокійливий ефект діадинамічних струмів проявляється одразу після процедури. Це пов’язано з тимчасовим гальмуванням нервових закінчень і зниженням їх реактивності. Одночасно вони надають протиспазматичну дію, сприяють розширенню судин, прискоренню кровообігу та лімфообігу, активізують обмінні та регенеративні процеси. Далі застосовують властивість діадинамотерапії для розсмоктування рубців, лікування м'язових контрактур, а також для відновлення рухливості суглобів після їх тривалої іммобілізації</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[34] Постраждалим також рекомендовані: електрофорез з новокаїном та іншими знеболювальними засобами, магнітотерапія. Магнітотерапія полягає в застосуванні магнітних полів низької частоти у безперервному чи імпульсному режимі. В пізньому </w:t>
      </w:r>
      <w:r w:rsidRPr="002947E1">
        <w:rPr>
          <w:rFonts w:ascii="Times New Roman" w:eastAsia="Times New Roman" w:hAnsi="Times New Roman" w:cs="Times New Roman"/>
          <w:color w:val="000000"/>
          <w:sz w:val="28"/>
          <w:szCs w:val="28"/>
          <w:lang w:val="uk-UA"/>
        </w:rPr>
        <w:lastRenderedPageBreak/>
        <w:t>післяопераційному періоді застосовують методи, що здатні генерувати тепло в тканинах без прямого контакту: індуктотермію, інфрачервоне випромінювання, мікрохвильову терапію, а також парафінові й озокеритові аплікації.</w:t>
      </w:r>
    </w:p>
    <w:p w14:paraId="4E39332C"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Індуктотермія – це метод фізіотерапії, який використовує магнітне поле високої частоти для лікування. Магнітне поле створюється при проходженні змінного струму певної частоти (13,56; 27,12; 40,68 МГц) через провідник індуктора, який може бути у формі плоскої, конічної, циліндричної спіралі або петлі (</w:t>
      </w:r>
      <w:r>
        <w:rPr>
          <w:rFonts w:ascii="Times New Roman" w:eastAsia="Times New Roman" w:hAnsi="Times New Roman" w:cs="Times New Roman"/>
          <w:color w:val="000000"/>
          <w:sz w:val="28"/>
          <w:szCs w:val="28"/>
          <w:lang w:val="uk-UA"/>
        </w:rPr>
        <w:t>р</w:t>
      </w:r>
      <w:r w:rsidRPr="002947E1">
        <w:rPr>
          <w:rFonts w:ascii="Times New Roman" w:eastAsia="Times New Roman" w:hAnsi="Times New Roman" w:cs="Times New Roman"/>
          <w:color w:val="000000"/>
          <w:sz w:val="28"/>
          <w:szCs w:val="28"/>
          <w:lang w:val="uk-UA"/>
        </w:rPr>
        <w:t>ис 1.5). Це поле, яке підводиться до пацієнта, збуджує у тканинах, органах і рідинах організму вихрові струми високої частоти, які призводять до утворення тепла через ефект Фуко</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[35]</w:t>
      </w:r>
    </w:p>
    <w:p w14:paraId="036D0185" w14:textId="77777777" w:rsidR="00DD0ABA" w:rsidRPr="002947E1"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2947E1">
        <w:rPr>
          <w:noProof/>
          <w:color w:val="000000"/>
          <w:lang w:val="uk-UA"/>
        </w:rPr>
        <w:drawing>
          <wp:inline distT="0" distB="0" distL="0" distR="0" wp14:anchorId="14142953" wp14:editId="64821A3C">
            <wp:extent cx="2332450" cy="3495752"/>
            <wp:effectExtent l="0" t="0" r="0" b="0"/>
            <wp:docPr id="11" name="image3.jpg" descr="Сучасний апарат останнього покоління для УВЧ індуктотермії Enraf Nonius  Curapuls 670 в каталозі медичної техніки та інструментів від &quot;MedService&quot;"/>
            <wp:cNvGraphicFramePr/>
            <a:graphic xmlns:a="http://schemas.openxmlformats.org/drawingml/2006/main">
              <a:graphicData uri="http://schemas.openxmlformats.org/drawingml/2006/picture">
                <pic:pic xmlns:pic="http://schemas.openxmlformats.org/drawingml/2006/picture">
                  <pic:nvPicPr>
                    <pic:cNvPr id="0" name="image3.jpg" descr="Сучасний апарат останнього покоління для УВЧ індуктотермії Enraf Nonius  Curapuls 670 в каталозі медичної техніки та інструментів від &quot;MedService&quot;"/>
                    <pic:cNvPicPr preferRelativeResize="0"/>
                  </pic:nvPicPr>
                  <pic:blipFill>
                    <a:blip r:embed="rId9"/>
                    <a:srcRect/>
                    <a:stretch>
                      <a:fillRect/>
                    </a:stretch>
                  </pic:blipFill>
                  <pic:spPr>
                    <a:xfrm>
                      <a:off x="0" y="0"/>
                      <a:ext cx="2332450" cy="3495752"/>
                    </a:xfrm>
                    <a:prstGeom prst="rect">
                      <a:avLst/>
                    </a:prstGeom>
                    <a:ln/>
                  </pic:spPr>
                </pic:pic>
              </a:graphicData>
            </a:graphic>
          </wp:inline>
        </w:drawing>
      </w:r>
    </w:p>
    <w:p w14:paraId="07DFF953" w14:textId="77777777" w:rsidR="00DD0ABA" w:rsidRPr="002947E1"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Рисунок 1.5 - Апарат для індуктотермії</w:t>
      </w:r>
    </w:p>
    <w:p w14:paraId="366CACDC"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0230473F"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Інфрачервоні випромінювання використовуються в фізіотерапії для глибокого прогріву тканин</w:t>
      </w:r>
      <w:r>
        <w:rPr>
          <w:rFonts w:ascii="Times New Roman" w:eastAsia="Times New Roman" w:hAnsi="Times New Roman" w:cs="Times New Roman"/>
          <w:color w:val="000000"/>
          <w:sz w:val="28"/>
          <w:szCs w:val="28"/>
          <w:lang w:val="uk-UA"/>
        </w:rPr>
        <w:t xml:space="preserve"> (рис.1.6)</w:t>
      </w:r>
      <w:r w:rsidRPr="002947E1">
        <w:rPr>
          <w:rFonts w:ascii="Times New Roman" w:eastAsia="Times New Roman" w:hAnsi="Times New Roman" w:cs="Times New Roman"/>
          <w:color w:val="000000"/>
          <w:sz w:val="28"/>
          <w:szCs w:val="28"/>
          <w:lang w:val="uk-UA"/>
        </w:rPr>
        <w:t xml:space="preserve">. Під час лікувальних процедур на шкірі швидко з'являється почервоніння (теплова еритема), яке зникає через 30 хвилин або годину. Лампи інфрачервоного випромінювання працюють від мережі 120 або 220 вольт, маючи потужність 300 Вт і температуру від 400 до </w:t>
      </w:r>
      <w:r w:rsidRPr="002947E1">
        <w:rPr>
          <w:rFonts w:ascii="Times New Roman" w:eastAsia="Times New Roman" w:hAnsi="Times New Roman" w:cs="Times New Roman"/>
          <w:color w:val="000000"/>
          <w:sz w:val="28"/>
          <w:szCs w:val="28"/>
          <w:lang w:val="uk-UA"/>
        </w:rPr>
        <w:lastRenderedPageBreak/>
        <w:t>700 градусів Цельсія. Рефлектор при цьому встановлюють на відстані 50-100 см від опромінюваної ділянки, а тривалість процедури може становити 20-30 хвилин або більше залежно від виду захворювання</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[36]</w:t>
      </w:r>
    </w:p>
    <w:p w14:paraId="1129EEC4" w14:textId="77777777" w:rsidR="00DD0ABA" w:rsidRPr="002B15B5" w:rsidRDefault="00DD0ABA" w:rsidP="00DD0ABA">
      <w:pPr>
        <w:spacing w:after="0" w:line="360" w:lineRule="auto"/>
        <w:ind w:firstLine="709"/>
        <w:rPr>
          <w:rFonts w:ascii="Times New Roman" w:eastAsia="Times New Roman" w:hAnsi="Times New Roman" w:cs="Times New Roman"/>
          <w:color w:val="000000"/>
          <w:sz w:val="28"/>
          <w:szCs w:val="28"/>
          <w:lang w:val="en-US"/>
        </w:rPr>
      </w:pPr>
      <w:r w:rsidRPr="002947E1">
        <w:rPr>
          <w:rFonts w:ascii="Times New Roman" w:eastAsia="Times New Roman" w:hAnsi="Times New Roman" w:cs="Times New Roman"/>
          <w:noProof/>
          <w:color w:val="000000"/>
          <w:sz w:val="28"/>
          <w:szCs w:val="28"/>
          <w:lang w:val="uk-UA"/>
        </w:rPr>
        <w:drawing>
          <wp:inline distT="0" distB="0" distL="0" distR="0" wp14:anchorId="6E355BC4" wp14:editId="100E6498">
            <wp:extent cx="3924000" cy="3456000"/>
            <wp:effectExtent l="0" t="0" r="635"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3924000" cy="3456000"/>
                    </a:xfrm>
                    <a:prstGeom prst="rect">
                      <a:avLst/>
                    </a:prstGeom>
                    <a:ln/>
                  </pic:spPr>
                </pic:pic>
              </a:graphicData>
            </a:graphic>
          </wp:inline>
        </w:drawing>
      </w:r>
    </w:p>
    <w:p w14:paraId="10B9957F" w14:textId="77777777" w:rsidR="00DD0ABA" w:rsidRPr="002947E1" w:rsidRDefault="00DD0ABA" w:rsidP="00DD0ABA">
      <w:pPr>
        <w:spacing w:after="0" w:line="360" w:lineRule="auto"/>
        <w:ind w:firstLine="709"/>
        <w:rPr>
          <w:color w:val="000000"/>
          <w:lang w:val="uk-UA"/>
        </w:rPr>
      </w:pPr>
      <w:r w:rsidRPr="002947E1">
        <w:rPr>
          <w:rFonts w:ascii="Times New Roman" w:eastAsia="Times New Roman" w:hAnsi="Times New Roman" w:cs="Times New Roman"/>
          <w:color w:val="000000"/>
          <w:sz w:val="28"/>
          <w:szCs w:val="28"/>
          <w:lang w:val="uk-UA"/>
        </w:rPr>
        <w:t>Рисунок 1.6 - Апарат для інфрачервонного випромінювання</w:t>
      </w:r>
    </w:p>
    <w:p w14:paraId="3AA8EDC6" w14:textId="77777777" w:rsidR="00DD0ABA" w:rsidRPr="002947E1" w:rsidRDefault="00DD0ABA" w:rsidP="00DD0ABA">
      <w:pPr>
        <w:spacing w:after="0" w:line="360" w:lineRule="auto"/>
        <w:ind w:firstLine="709"/>
        <w:jc w:val="center"/>
        <w:rPr>
          <w:rFonts w:ascii="Times New Roman" w:eastAsia="Times New Roman" w:hAnsi="Times New Roman" w:cs="Times New Roman"/>
          <w:color w:val="000000"/>
          <w:sz w:val="28"/>
          <w:szCs w:val="28"/>
          <w:lang w:val="uk-UA"/>
        </w:rPr>
      </w:pPr>
    </w:p>
    <w:p w14:paraId="7DB68717"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СВЧ-терапія – це метод лікування, заснований на використанні енергії мікрохвиль, які є електромагнітним полем надвисокої частоти. Мікрохвилі, з довжиною хвилі від 1 метра до 1 міліметра і частотою від 300 до 300 000 МГц, займають проміжне місце між ультрависокочастотними радіохвилями та інфрачервоними променями</w:t>
      </w:r>
      <w:r>
        <w:rPr>
          <w:rFonts w:ascii="Times New Roman" w:eastAsia="Times New Roman" w:hAnsi="Times New Roman" w:cs="Times New Roman"/>
          <w:color w:val="000000"/>
          <w:sz w:val="28"/>
          <w:szCs w:val="28"/>
          <w:lang w:val="uk-UA"/>
        </w:rPr>
        <w:t xml:space="preserve"> (рис.1.7)</w:t>
      </w:r>
      <w:r w:rsidRPr="002947E1">
        <w:rPr>
          <w:rFonts w:ascii="Times New Roman" w:eastAsia="Times New Roman" w:hAnsi="Times New Roman" w:cs="Times New Roman"/>
          <w:color w:val="000000"/>
          <w:sz w:val="28"/>
          <w:szCs w:val="28"/>
          <w:lang w:val="uk-UA"/>
        </w:rPr>
        <w:t>. Ця властивість мікрохвиль дозволяє їм проникати в біологічні тканини, а також відображатися, заломлюватися і поглинатися ними. В залежності від діапазону хвиль розрізняють два види СВЧ-терапії: дециметрову (0,1-1 м) та сантиметрову (1-10 см)</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[37]</w:t>
      </w:r>
    </w:p>
    <w:p w14:paraId="5E69661B"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Для полегшення болю рекомендується застосовувати ультразвукову та лазерну терапії на паравертебральній ділянці й області колінного суглоба.</w:t>
      </w:r>
    </w:p>
    <w:p w14:paraId="0C7EF141"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 xml:space="preserve">На етапі відновлення, разом із електролікуванням, лазеро- та магнітотерапією, фізіотерапевти радять широко використовувати </w:t>
      </w:r>
      <w:r w:rsidRPr="002947E1">
        <w:rPr>
          <w:rFonts w:ascii="Times New Roman" w:eastAsia="Times New Roman" w:hAnsi="Times New Roman" w:cs="Times New Roman"/>
          <w:color w:val="000000"/>
          <w:sz w:val="28"/>
          <w:szCs w:val="28"/>
          <w:lang w:val="uk-UA"/>
        </w:rPr>
        <w:lastRenderedPageBreak/>
        <w:t>грязелікування та бальнеотерапію, зокрема радонові, сірчано-водневі, хлоридно-натрієві ванни</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[38]</w:t>
      </w:r>
    </w:p>
    <w:p w14:paraId="7CF9FD1D"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p>
    <w:p w14:paraId="1D702BB6" w14:textId="77777777" w:rsidR="00DD0ABA" w:rsidRPr="002947E1" w:rsidRDefault="00DD0ABA" w:rsidP="00DD0ABA">
      <w:pPr>
        <w:spacing w:after="0" w:line="360" w:lineRule="auto"/>
        <w:ind w:firstLine="709"/>
        <w:jc w:val="center"/>
        <w:rPr>
          <w:rFonts w:ascii="Times New Roman" w:eastAsia="Times New Roman" w:hAnsi="Times New Roman" w:cs="Times New Roman"/>
          <w:color w:val="000000"/>
          <w:sz w:val="28"/>
          <w:szCs w:val="28"/>
          <w:lang w:val="uk-UA"/>
        </w:rPr>
      </w:pPr>
      <w:r w:rsidRPr="002947E1">
        <w:rPr>
          <w:noProof/>
          <w:color w:val="000000"/>
          <w:lang w:val="uk-UA"/>
        </w:rPr>
        <w:drawing>
          <wp:inline distT="0" distB="0" distL="0" distR="0" wp14:anchorId="1335CE66" wp14:editId="123BD4DB">
            <wp:extent cx="2136632" cy="3058919"/>
            <wp:effectExtent l="0" t="0" r="0" b="0"/>
            <wp:docPr id="13" name="image4.png" descr="Апарат мікрохвильової терапії Radarmed 650+ (ID#2124186259), ціна: 430000  ₴, купити на Prom.ua"/>
            <wp:cNvGraphicFramePr/>
            <a:graphic xmlns:a="http://schemas.openxmlformats.org/drawingml/2006/main">
              <a:graphicData uri="http://schemas.openxmlformats.org/drawingml/2006/picture">
                <pic:pic xmlns:pic="http://schemas.openxmlformats.org/drawingml/2006/picture">
                  <pic:nvPicPr>
                    <pic:cNvPr id="0" name="image4.png" descr="Апарат мікрохвильової терапії Radarmed 650+ (ID#2124186259), ціна: 430000  ₴, купити на Prom.ua"/>
                    <pic:cNvPicPr preferRelativeResize="0"/>
                  </pic:nvPicPr>
                  <pic:blipFill>
                    <a:blip r:embed="rId11"/>
                    <a:srcRect/>
                    <a:stretch>
                      <a:fillRect/>
                    </a:stretch>
                  </pic:blipFill>
                  <pic:spPr>
                    <a:xfrm>
                      <a:off x="0" y="0"/>
                      <a:ext cx="2136632" cy="3058919"/>
                    </a:xfrm>
                    <a:prstGeom prst="rect">
                      <a:avLst/>
                    </a:prstGeom>
                    <a:ln/>
                  </pic:spPr>
                </pic:pic>
              </a:graphicData>
            </a:graphic>
          </wp:inline>
        </w:drawing>
      </w:r>
    </w:p>
    <w:p w14:paraId="7349A76D" w14:textId="77777777" w:rsidR="00DD0ABA" w:rsidRPr="002947E1" w:rsidRDefault="00DD0ABA" w:rsidP="00DD0ABA">
      <w:pPr>
        <w:spacing w:after="0" w:line="360" w:lineRule="auto"/>
        <w:ind w:firstLine="709"/>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Рисунок 1.7 - Апарат для мікрохвильової терапії</w:t>
      </w:r>
    </w:p>
    <w:p w14:paraId="6BA8F748" w14:textId="77777777" w:rsidR="00DD0ABA" w:rsidRPr="002947E1" w:rsidRDefault="00DD0ABA" w:rsidP="00DD0ABA">
      <w:pPr>
        <w:spacing w:after="0" w:line="360" w:lineRule="auto"/>
        <w:ind w:firstLine="709"/>
        <w:jc w:val="center"/>
        <w:rPr>
          <w:rFonts w:ascii="Times New Roman" w:eastAsia="Times New Roman" w:hAnsi="Times New Roman" w:cs="Times New Roman"/>
          <w:color w:val="000000"/>
          <w:sz w:val="28"/>
          <w:szCs w:val="28"/>
          <w:lang w:val="uk-UA"/>
        </w:rPr>
      </w:pPr>
    </w:p>
    <w:p w14:paraId="4C237A92"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Гідротерапія зазвичай проводиться у вигляді теплих локальних ванн для ніг або загальних ванн. Тепла вода рівномірно прогріває тканини ушкодженої кінцівки, що стимулює кровообіг і метаболічні процеси, сприяє розслабленню м'язів і підвищенню еластичності суглобових тканин, що зменшує біль при рухах. Це допомагає збільшити амплітуду рухів і прискорити відновлення після травми</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[39]</w:t>
      </w:r>
    </w:p>
    <w:p w14:paraId="0821FECC" w14:textId="77777777" w:rsidR="00DD0ABA" w:rsidRPr="002947E1"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У цей період також використовують електрофорез, іонофорез з лікарськими препаратами, гальвано-грязелікування, а також лікування піском, глиною, парафіном і озокеритом. Всі ці методи сприяють прогріванню тканин і підвищенню рухливості суглобів. Ампліпульстерапія, що застосовує синусоїдальні змінні струми, також активно застосовується для стимуляції нервово-м'язового апарату, покращуючи скорочувальні властивості м'язів</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[40]</w:t>
      </w:r>
    </w:p>
    <w:p w14:paraId="1B387DBA" w14:textId="77777777" w:rsidR="00DD0A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2947E1">
        <w:rPr>
          <w:rFonts w:ascii="Times New Roman" w:eastAsia="Times New Roman" w:hAnsi="Times New Roman" w:cs="Times New Roman"/>
          <w:color w:val="000000"/>
          <w:sz w:val="28"/>
          <w:szCs w:val="28"/>
          <w:lang w:val="uk-UA"/>
        </w:rPr>
        <w:t xml:space="preserve">Ампліпульстерапія – це метод електролікування, при якому на організм впливають низькочастотними синусоїдальними струмами з частотою від 2000 </w:t>
      </w:r>
      <w:r w:rsidRPr="002947E1">
        <w:rPr>
          <w:rFonts w:ascii="Times New Roman" w:eastAsia="Times New Roman" w:hAnsi="Times New Roman" w:cs="Times New Roman"/>
          <w:color w:val="000000"/>
          <w:sz w:val="28"/>
          <w:szCs w:val="28"/>
          <w:lang w:val="uk-UA"/>
        </w:rPr>
        <w:lastRenderedPageBreak/>
        <w:t>до 10000 Гц, які модулюються на частотах від 10 до 150 Гц. На відміну від низькочастотних струмів, які сильно впливають на нервово-м'язову та судинну системи, високочастотні струми глибше проникають у тканини, не викликаючи значного подразнення шкіри, і сприяють зменшенню набряків і болю</w:t>
      </w:r>
      <w:r>
        <w:rPr>
          <w:rFonts w:ascii="Times New Roman" w:eastAsia="Times New Roman" w:hAnsi="Times New Roman" w:cs="Times New Roman"/>
          <w:color w:val="000000"/>
          <w:sz w:val="28"/>
          <w:szCs w:val="28"/>
          <w:lang w:val="uk-UA"/>
        </w:rPr>
        <w:t>.</w:t>
      </w:r>
      <w:r w:rsidRPr="002947E1">
        <w:rPr>
          <w:rFonts w:ascii="Times New Roman" w:eastAsia="Times New Roman" w:hAnsi="Times New Roman" w:cs="Times New Roman"/>
          <w:color w:val="000000"/>
          <w:sz w:val="28"/>
          <w:szCs w:val="28"/>
          <w:lang w:val="uk-UA"/>
        </w:rPr>
        <w:t xml:space="preserve"> [41]</w:t>
      </w:r>
    </w:p>
    <w:p w14:paraId="613C0316" w14:textId="77777777" w:rsidR="00DD0ABA" w:rsidRPr="00E44FBA"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E44FBA">
        <w:rPr>
          <w:rFonts w:ascii="Times New Roman" w:eastAsia="Times New Roman" w:hAnsi="Times New Roman" w:cs="Times New Roman"/>
          <w:color w:val="000000"/>
          <w:sz w:val="28"/>
          <w:szCs w:val="28"/>
          <w:lang w:val="uk-UA"/>
        </w:rPr>
        <w:t>Окрім класичних методів реабілітації, у сучасній спортивній медицині активно впроваджуються новітні фізіотерапевтичні стратегії, що спрямовані на скорочення термінів відновлення, покращення м’язового контролю та профілактику повторних ушкоджень.</w:t>
      </w:r>
    </w:p>
    <w:p w14:paraId="564F5DE0"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Одним із перших кроків у фізіотерапевтичному супроводі спортсменів після травм зв’язок є нейром'язова електростимуляція (НМЕС). НМЕС використовують для активації квадрицепса і підтримки його тонусу у період обмеженого навантаження. НМЕС сприяє запобіганню атрофії м'язів та пришвидшує повернення м'язової сили. Часто застосовується у комбінації з активними вправами в перші 2–4 тижні після операції.</w:t>
      </w:r>
    </w:p>
    <w:p w14:paraId="3DD13005"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Після стабілізації м’язового тонусу доцільно включати пропріоцептивне тренування, яке відіграє важливу роль у відновленні координації рухів і функціональної стабільності коліна. Програми з елементами балансу і координації стимулюють нервово-м’язову відповідь. Це можуть бути вправи на баланс-бордах, нестійких платформах або BOSU-модулях, які починають вводити через 3–4 тижні після травми.</w:t>
      </w:r>
    </w:p>
    <w:p w14:paraId="1D2BFAE6"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Для підвищення стабільності суглоба й зменшення больового синдрому ефективним є також кінезіотейпінг. Методика накладання еластичних стрічок поліпшує стабілізацію коліна, зменшує набряк і стимулює м'язову активність. Найчастіше тейпування застосовують у ранні етапи реабілітації, зокрема після активних фізичних навантажень.</w:t>
      </w:r>
    </w:p>
    <w:p w14:paraId="3B44FD2E"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Паралельно з цим важливою складовою є ізометричні вправи, які забезпечують збереження м’язового тонусу без динамічних навантажень на суглоб, що особливо актуально в перші тижні після травми, коли активні рухи обмежені. Основну увагу приділяють м’язам стегна та сідниць.</w:t>
      </w:r>
    </w:p>
    <w:p w14:paraId="60B1AD51"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lastRenderedPageBreak/>
        <w:t>Зі зростанням рухових можливостей спортсмена переходять до функціональної терапії, яка включає більш складні елементи – відновлення ходи, тренування підйому по сходах, присідань, випадів і стрибків. Такі вправи підбирають індивідуально з урахуванням специфіки виду спорту.</w:t>
      </w:r>
    </w:p>
    <w:p w14:paraId="1B52F3F0"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Для підвищення ефективності відновлення все частіше використовують біофідбек – технологію біологічного зворотного зв’язку. Вона дозволяє спортсмену візуалізувати та контролювати м’язову активність під час виконання вправ, що сприяє корекції рухів і профілактиці повторних травм.</w:t>
      </w:r>
    </w:p>
    <w:p w14:paraId="58650D29"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Ще одним методом підтримки реабілітаційного процесу є компресійна терапія, яка зменшує набряк та біль, особливо на ранніх етапах. Сучасні активні системи компресії дозволяють рівномірно розподіляти тиск і стимулюють лімфатичний відтік.</w:t>
      </w:r>
    </w:p>
    <w:p w14:paraId="37B6C8F8"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Протягом усієї реабілітації вирішальне значення має принцип прогресивного навантаження. Навантаження збільшують поступово, орієнтуючись на індивідуальні особливості пацієнта, з урахуванням больового синдрому, набряку, стабільності суглоба і рівня м’язового контролю. Такий підхід забезпечує безпечне і ефективне повернення спортсмена до повноцінної активності.</w:t>
      </w:r>
    </w:p>
    <w:p w14:paraId="7A489B38" w14:textId="77777777" w:rsidR="00DD0ABA" w:rsidRPr="00F128D7" w:rsidRDefault="00DD0ABA" w:rsidP="00DD0ABA">
      <w:pPr>
        <w:spacing w:after="0" w:line="360" w:lineRule="auto"/>
        <w:ind w:firstLine="709"/>
        <w:jc w:val="both"/>
        <w:rPr>
          <w:rFonts w:ascii="Times New Roman" w:eastAsia="Times New Roman" w:hAnsi="Times New Roman" w:cs="Times New Roman"/>
          <w:color w:val="000000"/>
          <w:sz w:val="28"/>
          <w:szCs w:val="28"/>
          <w:lang w:val="uk-UA"/>
        </w:rPr>
      </w:pPr>
      <w:r w:rsidRPr="00F128D7">
        <w:rPr>
          <w:rFonts w:ascii="Times New Roman" w:eastAsia="Times New Roman" w:hAnsi="Times New Roman" w:cs="Times New Roman"/>
          <w:color w:val="000000"/>
          <w:sz w:val="28"/>
          <w:szCs w:val="28"/>
          <w:lang w:val="uk-UA"/>
        </w:rPr>
        <w:t>Отже, фізіотерапія відіграє ключову роль у реабілітації після артроскопічних операцій на колінному суглобі, починаючи з ранніх етапів для зниження болю та запалення. За допомогою таких методів, як світлотерапія, діадинамотерапія та магнітотерапія, стимулюється регенерація тканин, покращується кровообіг і еластичність м'язів, що сприяє відновленню функціональності суглоба. Подальше використання теплових і механічних методів, таких як індуктотермія, мікрохвильова терапія та грязелікування, допомагає у зменшенні болю, розслабленні м'язів та покращенні рухливості суглобів, прискорюючи процес відновлення.</w:t>
      </w:r>
    </w:p>
    <w:p w14:paraId="3B1B6C26" w14:textId="77777777" w:rsidR="00DD0ABA" w:rsidRPr="00DD0ABA" w:rsidRDefault="00DD0ABA" w:rsidP="00DD0ABA">
      <w:pPr>
        <w:spacing w:after="0" w:line="360" w:lineRule="auto"/>
        <w:ind w:firstLine="709"/>
        <w:jc w:val="center"/>
        <w:rPr>
          <w:rStyle w:val="ac"/>
          <w:rFonts w:ascii="Times New Roman" w:hAnsi="Times New Roman" w:cs="Times New Roman"/>
          <w:b w:val="0"/>
          <w:bCs w:val="0"/>
          <w:color w:val="000000"/>
          <w:sz w:val="28"/>
          <w:szCs w:val="28"/>
          <w:shd w:val="clear" w:color="auto" w:fill="FFFFFF"/>
          <w:lang w:val="uk-UA"/>
        </w:rPr>
      </w:pPr>
    </w:p>
    <w:p w14:paraId="2DFB0BC1" w14:textId="77777777" w:rsidR="00200B01" w:rsidRPr="00DD0ABA" w:rsidRDefault="00200B01">
      <w:pPr>
        <w:rPr>
          <w:rFonts w:ascii="Times New Roman" w:hAnsi="Times New Roman" w:cs="Times New Roman"/>
          <w:sz w:val="28"/>
          <w:szCs w:val="28"/>
          <w:lang w:val="uk-UA"/>
        </w:rPr>
      </w:pPr>
    </w:p>
    <w:sectPr w:rsidR="00200B01" w:rsidRPr="00DD0A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D83E0D"/>
    <w:multiLevelType w:val="hybridMultilevel"/>
    <w:tmpl w:val="5A12FEF8"/>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58F17C2"/>
    <w:multiLevelType w:val="multilevel"/>
    <w:tmpl w:val="6BF61D7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68DE5710"/>
    <w:multiLevelType w:val="hybridMultilevel"/>
    <w:tmpl w:val="918E8C6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78BB0101"/>
    <w:multiLevelType w:val="multilevel"/>
    <w:tmpl w:val="6E587E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056075828">
    <w:abstractNumId w:val="1"/>
  </w:num>
  <w:num w:numId="2" w16cid:durableId="1032147898">
    <w:abstractNumId w:val="3"/>
  </w:num>
  <w:num w:numId="3" w16cid:durableId="169029945">
    <w:abstractNumId w:val="0"/>
  </w:num>
  <w:num w:numId="4" w16cid:durableId="1331051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2DB"/>
    <w:rsid w:val="00200B01"/>
    <w:rsid w:val="00AE76A9"/>
    <w:rsid w:val="00DD0ABA"/>
    <w:rsid w:val="00FE52D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CFB87"/>
  <w15:chartTrackingRefBased/>
  <w15:docId w15:val="{644C2853-4D62-44C7-9563-9A8499C7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D0ABA"/>
    <w:pPr>
      <w:spacing w:line="256" w:lineRule="auto"/>
    </w:pPr>
    <w:rPr>
      <w:rFonts w:ascii="Calibri" w:eastAsia="Calibri" w:hAnsi="Calibri" w:cs="Calibri"/>
      <w:lang w:val="ru-RU" w:eastAsia="uk-UA"/>
    </w:rPr>
  </w:style>
  <w:style w:type="paragraph" w:styleId="1">
    <w:name w:val="heading 1"/>
    <w:basedOn w:val="a"/>
    <w:next w:val="a"/>
    <w:link w:val="10"/>
    <w:uiPriority w:val="9"/>
    <w:qFormat/>
    <w:rsid w:val="00FE52D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FE52D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E52D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E52D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E52D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E52D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E52D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E52D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E52D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E52DB"/>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FE52DB"/>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E52DB"/>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E52DB"/>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E52DB"/>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E52D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E52DB"/>
    <w:rPr>
      <w:rFonts w:eastAsiaTheme="majorEastAsia" w:cstheme="majorBidi"/>
      <w:color w:val="595959" w:themeColor="text1" w:themeTint="A6"/>
    </w:rPr>
  </w:style>
  <w:style w:type="character" w:customStyle="1" w:styleId="80">
    <w:name w:val="Заголовок 8 Знак"/>
    <w:basedOn w:val="a0"/>
    <w:link w:val="8"/>
    <w:uiPriority w:val="9"/>
    <w:semiHidden/>
    <w:rsid w:val="00FE52D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E52DB"/>
    <w:rPr>
      <w:rFonts w:eastAsiaTheme="majorEastAsia" w:cstheme="majorBidi"/>
      <w:color w:val="272727" w:themeColor="text1" w:themeTint="D8"/>
    </w:rPr>
  </w:style>
  <w:style w:type="paragraph" w:styleId="a3">
    <w:name w:val="Title"/>
    <w:basedOn w:val="a"/>
    <w:next w:val="a"/>
    <w:link w:val="a4"/>
    <w:uiPriority w:val="10"/>
    <w:qFormat/>
    <w:rsid w:val="00FE52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E52D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E52D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E52D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E52DB"/>
    <w:pPr>
      <w:spacing w:before="160"/>
      <w:jc w:val="center"/>
    </w:pPr>
    <w:rPr>
      <w:i/>
      <w:iCs/>
      <w:color w:val="404040" w:themeColor="text1" w:themeTint="BF"/>
    </w:rPr>
  </w:style>
  <w:style w:type="character" w:customStyle="1" w:styleId="22">
    <w:name w:val="Цитата 2 Знак"/>
    <w:basedOn w:val="a0"/>
    <w:link w:val="21"/>
    <w:uiPriority w:val="29"/>
    <w:rsid w:val="00FE52DB"/>
    <w:rPr>
      <w:i/>
      <w:iCs/>
      <w:color w:val="404040" w:themeColor="text1" w:themeTint="BF"/>
    </w:rPr>
  </w:style>
  <w:style w:type="paragraph" w:styleId="a7">
    <w:name w:val="List Paragraph"/>
    <w:basedOn w:val="a"/>
    <w:uiPriority w:val="34"/>
    <w:qFormat/>
    <w:rsid w:val="00FE52DB"/>
    <w:pPr>
      <w:ind w:left="720"/>
      <w:contextualSpacing/>
    </w:pPr>
  </w:style>
  <w:style w:type="character" w:styleId="a8">
    <w:name w:val="Intense Emphasis"/>
    <w:basedOn w:val="a0"/>
    <w:uiPriority w:val="21"/>
    <w:qFormat/>
    <w:rsid w:val="00FE52DB"/>
    <w:rPr>
      <w:i/>
      <w:iCs/>
      <w:color w:val="2F5496" w:themeColor="accent1" w:themeShade="BF"/>
    </w:rPr>
  </w:style>
  <w:style w:type="paragraph" w:styleId="a9">
    <w:name w:val="Intense Quote"/>
    <w:basedOn w:val="a"/>
    <w:next w:val="a"/>
    <w:link w:val="aa"/>
    <w:uiPriority w:val="30"/>
    <w:qFormat/>
    <w:rsid w:val="00FE52D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FE52DB"/>
    <w:rPr>
      <w:i/>
      <w:iCs/>
      <w:color w:val="2F5496" w:themeColor="accent1" w:themeShade="BF"/>
    </w:rPr>
  </w:style>
  <w:style w:type="character" w:styleId="ab">
    <w:name w:val="Intense Reference"/>
    <w:basedOn w:val="a0"/>
    <w:uiPriority w:val="32"/>
    <w:qFormat/>
    <w:rsid w:val="00FE52DB"/>
    <w:rPr>
      <w:b/>
      <w:bCs/>
      <w:smallCaps/>
      <w:color w:val="2F5496" w:themeColor="accent1" w:themeShade="BF"/>
      <w:spacing w:val="5"/>
    </w:rPr>
  </w:style>
  <w:style w:type="character" w:styleId="ac">
    <w:name w:val="Strong"/>
    <w:basedOn w:val="a0"/>
    <w:uiPriority w:val="22"/>
    <w:qFormat/>
    <w:rsid w:val="00DD0ABA"/>
    <w:rPr>
      <w:b/>
      <w:bCs/>
    </w:rPr>
  </w:style>
  <w:style w:type="paragraph" w:customStyle="1" w:styleId="Default">
    <w:name w:val="Default"/>
    <w:rsid w:val="00DD0ABA"/>
    <w:pPr>
      <w:autoSpaceDE w:val="0"/>
      <w:autoSpaceDN w:val="0"/>
      <w:adjustRightInd w:val="0"/>
      <w:spacing w:after="0" w:line="240" w:lineRule="auto"/>
    </w:pPr>
    <w:rPr>
      <w:rFonts w:ascii="Times New Roman" w:eastAsia="Arial"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image" Target="media/image5.png"/><Relationship Id="rId5" Type="http://schemas.openxmlformats.org/officeDocument/2006/relationships/chart" Target="charts/chart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Аркуш1!$A$2</c:f>
              <c:strCache>
                <c:ptCount val="1"/>
                <c:pt idx="0">
                  <c:v>Паталогії верхніх дихальних шляхів</c:v>
                </c:pt>
              </c:strCache>
            </c:strRef>
          </c:tx>
          <c:dPt>
            <c:idx val="0"/>
            <c:bubble3D val="0"/>
            <c:spPr>
              <a:solidFill>
                <a:schemeClr val="accent6">
                  <a:lumMod val="60000"/>
                  <a:lumOff val="4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10EB-46BE-BC4E-C29F7B3AE76E}"/>
              </c:ext>
            </c:extLst>
          </c:dPt>
          <c:dPt>
            <c:idx val="1"/>
            <c:bubble3D val="0"/>
            <c:spPr>
              <a:solidFill>
                <a:schemeClr val="accent1">
                  <a:lumMod val="60000"/>
                  <a:lumOff val="4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10EB-46BE-BC4E-C29F7B3AE76E}"/>
              </c:ext>
            </c:extLst>
          </c:dPt>
          <c:dPt>
            <c:idx val="2"/>
            <c:bubble3D val="0"/>
            <c:spPr>
              <a:solidFill>
                <a:schemeClr val="accent2">
                  <a:lumMod val="60000"/>
                  <a:lumOff val="4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10EB-46BE-BC4E-C29F7B3AE76E}"/>
              </c:ext>
            </c:extLst>
          </c:dPt>
          <c:dPt>
            <c:idx val="3"/>
            <c:bubble3D val="0"/>
            <c:spPr>
              <a:solidFill>
                <a:schemeClr val="bg2">
                  <a:lumMod val="9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10EB-46BE-BC4E-C29F7B3AE76E}"/>
              </c:ext>
            </c:extLst>
          </c:dPt>
          <c:dLbls>
            <c:dLbl>
              <c:idx val="3"/>
              <c:delete val="1"/>
              <c:extLst>
                <c:ext xmlns:c15="http://schemas.microsoft.com/office/drawing/2012/chart" uri="{CE6537A1-D6FC-4f65-9D91-7224C49458BB}"/>
                <c:ext xmlns:c16="http://schemas.microsoft.com/office/drawing/2014/chart" uri="{C3380CC4-5D6E-409C-BE32-E72D297353CC}">
                  <c16:uniqueId val="{00000007-10EB-46BE-BC4E-C29F7B3AE76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Паталогії верхніх дихальних шляхів</c:v>
                </c:pt>
                <c:pt idx="1">
                  <c:v>Стоматологічні захворювання</c:v>
                </c:pt>
                <c:pt idx="2">
                  <c:v>Ушкодження опорно-рухового апарату</c:v>
                </c:pt>
              </c:strCache>
            </c:strRef>
          </c:cat>
          <c:val>
            <c:numRef>
              <c:f>Аркуш1!$B$2:$B$5</c:f>
              <c:numCache>
                <c:formatCode>0.00%</c:formatCode>
                <c:ptCount val="4"/>
                <c:pt idx="0">
                  <c:v>8.5000000000000006E-2</c:v>
                </c:pt>
                <c:pt idx="1">
                  <c:v>0.30499999999999999</c:v>
                </c:pt>
                <c:pt idx="2">
                  <c:v>0.45</c:v>
                </c:pt>
                <c:pt idx="3" formatCode="0%">
                  <c:v>0.16</c:v>
                </c:pt>
              </c:numCache>
            </c:numRef>
          </c:val>
          <c:extLst>
            <c:ext xmlns:c16="http://schemas.microsoft.com/office/drawing/2014/chart" uri="{C3380CC4-5D6E-409C-BE32-E72D297353CC}">
              <c16:uniqueId val="{00000008-10EB-46BE-BC4E-C29F7B3AE76E}"/>
            </c:ext>
          </c:extLst>
        </c:ser>
        <c:ser>
          <c:idx val="1"/>
          <c:order val="1"/>
          <c:tx>
            <c:strRef>
              <c:f>Аркуш1!$A$3</c:f>
              <c:strCache>
                <c:ptCount val="1"/>
                <c:pt idx="0">
                  <c:v>Стоматологічні захворювання</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A-10EB-46BE-BC4E-C29F7B3AE76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Паталогії верхніх дихальних шляхів</c:v>
                </c:pt>
                <c:pt idx="1">
                  <c:v>Стоматологічні захворювання</c:v>
                </c:pt>
                <c:pt idx="2">
                  <c:v>Ушкодження опорно-рухового апарату</c:v>
                </c:pt>
              </c:strCache>
            </c:strRef>
          </c:cat>
          <c:val>
            <c:numRef>
              <c:f>Аркуш1!$B$3</c:f>
              <c:numCache>
                <c:formatCode>0.00%</c:formatCode>
                <c:ptCount val="1"/>
                <c:pt idx="0">
                  <c:v>0.30499999999999999</c:v>
                </c:pt>
              </c:numCache>
            </c:numRef>
          </c:val>
          <c:extLst>
            <c:ext xmlns:c16="http://schemas.microsoft.com/office/drawing/2014/chart" uri="{C3380CC4-5D6E-409C-BE32-E72D297353CC}">
              <c16:uniqueId val="{0000000B-10EB-46BE-BC4E-C29F7B3AE76E}"/>
            </c:ext>
          </c:extLst>
        </c:ser>
        <c:ser>
          <c:idx val="2"/>
          <c:order val="2"/>
          <c:tx>
            <c:strRef>
              <c:f>Аркуш1!$A$4</c:f>
              <c:strCache>
                <c:ptCount val="1"/>
                <c:pt idx="0">
                  <c:v>Ушкодження опорно-рухового апарату</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D-10EB-46BE-BC4E-C29F7B3AE76E}"/>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Паталогії верхніх дихальних шляхів</c:v>
                </c:pt>
                <c:pt idx="1">
                  <c:v>Стоматологічні захворювання</c:v>
                </c:pt>
                <c:pt idx="2">
                  <c:v>Ушкодження опорно-рухового апарату</c:v>
                </c:pt>
              </c:strCache>
            </c:strRef>
          </c:cat>
          <c:val>
            <c:numRef>
              <c:f>Аркуш1!$B$4</c:f>
              <c:numCache>
                <c:formatCode>0.00%</c:formatCode>
                <c:ptCount val="1"/>
                <c:pt idx="0">
                  <c:v>0.45</c:v>
                </c:pt>
              </c:numCache>
            </c:numRef>
          </c:val>
          <c:extLst>
            <c:ext xmlns:c16="http://schemas.microsoft.com/office/drawing/2014/chart" uri="{C3380CC4-5D6E-409C-BE32-E72D297353CC}">
              <c16:uniqueId val="{0000000E-10EB-46BE-BC4E-C29F7B3AE76E}"/>
            </c:ext>
          </c:extLst>
        </c:ser>
        <c:ser>
          <c:idx val="3"/>
          <c:order val="3"/>
          <c:tx>
            <c:strRef>
              <c:f>Аркуш1!$A$5</c:f>
              <c:strCache>
                <c:ptCount val="1"/>
                <c:pt idx="0">
                  <c:v>Інші</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0-10EB-46BE-BC4E-C29F7B3AE76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Lit>
              <c:formatCode>General</c:formatCode>
              <c:ptCount val="1"/>
              <c:pt idx="0">
                <c:v>1</c:v>
              </c:pt>
            </c:numLit>
          </c:val>
          <c:extLst>
            <c:ext xmlns:c16="http://schemas.microsoft.com/office/drawing/2014/chart" uri="{C3380CC4-5D6E-409C-BE32-E72D297353CC}">
              <c16:uniqueId val="{00000011-10EB-46BE-BC4E-C29F7B3AE76E}"/>
            </c:ext>
          </c:extLst>
        </c:ser>
        <c:dLbls>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layout>
        <c:manualLayout>
          <c:xMode val="edge"/>
          <c:yMode val="edge"/>
          <c:x val="0.63194444444444442"/>
          <c:y val="0.26964379452568427"/>
          <c:w val="0.35416666666666669"/>
          <c:h val="0.4488076490438694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Розподіл травматичних ушкоджень за зонами</c:v>
                </c:pt>
              </c:strCache>
            </c:strRef>
          </c:tx>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5CFD-4910-A29F-6BF6DC2A7389}"/>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5CFD-4910-A29F-6BF6DC2A7389}"/>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5CFD-4910-A29F-6BF6DC2A7389}"/>
              </c:ext>
            </c:extLst>
          </c:dPt>
          <c:dPt>
            <c:idx val="3"/>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5CFD-4910-A29F-6BF6DC2A7389}"/>
              </c:ext>
            </c:extLst>
          </c:dPt>
          <c:dPt>
            <c:idx val="4"/>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5CFD-4910-A29F-6BF6DC2A7389}"/>
              </c:ext>
            </c:extLst>
          </c:dPt>
          <c:dPt>
            <c:idx val="5"/>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5CFD-4910-A29F-6BF6DC2A7389}"/>
              </c:ext>
            </c:extLst>
          </c:dPt>
          <c:dPt>
            <c:idx val="6"/>
            <c:bubble3D val="0"/>
            <c:spPr>
              <a:solidFill>
                <a:schemeClr val="accent2">
                  <a:lumMod val="80000"/>
                  <a:lumOff val="2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5CFD-4910-A29F-6BF6DC2A7389}"/>
              </c:ext>
            </c:extLst>
          </c:dPt>
          <c:dPt>
            <c:idx val="7"/>
            <c:bubble3D val="0"/>
            <c:spPr>
              <a:solidFill>
                <a:schemeClr val="accent4">
                  <a:lumMod val="80000"/>
                  <a:lumOff val="2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5CFD-4910-A29F-6BF6DC2A7389}"/>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Аркуш1!$A$2:$A$9</c:f>
              <c:strCache>
                <c:ptCount val="8"/>
                <c:pt idx="0">
                  <c:v>Колінний суглоб</c:v>
                </c:pt>
                <c:pt idx="1">
                  <c:v>Гомілковостопний суглоб</c:v>
                </c:pt>
                <c:pt idx="2">
                  <c:v>Поперековий і грудний відділи хребта</c:v>
                </c:pt>
                <c:pt idx="3">
                  <c:v>Стопа і гомілка</c:v>
                </c:pt>
                <c:pt idx="4">
                  <c:v>Тазостегновий суглоб</c:v>
                </c:pt>
                <c:pt idx="5">
                  <c:v>Плечовий суглоб</c:v>
                </c:pt>
                <c:pt idx="6">
                  <c:v>Кисть</c:v>
                </c:pt>
                <c:pt idx="7">
                  <c:v>Ліктьовий суглоб</c:v>
                </c:pt>
              </c:strCache>
            </c:strRef>
          </c:cat>
          <c:val>
            <c:numRef>
              <c:f>Аркуш1!$B$2:$B$9</c:f>
              <c:numCache>
                <c:formatCode>0%</c:formatCode>
                <c:ptCount val="8"/>
                <c:pt idx="0">
                  <c:v>0.5</c:v>
                </c:pt>
                <c:pt idx="1">
                  <c:v>0.1</c:v>
                </c:pt>
                <c:pt idx="2">
                  <c:v>0.1</c:v>
                </c:pt>
                <c:pt idx="3">
                  <c:v>0.06</c:v>
                </c:pt>
                <c:pt idx="4">
                  <c:v>0.05</c:v>
                </c:pt>
                <c:pt idx="5">
                  <c:v>0.05</c:v>
                </c:pt>
                <c:pt idx="6">
                  <c:v>0.05</c:v>
                </c:pt>
                <c:pt idx="7">
                  <c:v>0.04</c:v>
                </c:pt>
              </c:numCache>
            </c:numRef>
          </c:val>
          <c:extLst>
            <c:ext xmlns:c16="http://schemas.microsoft.com/office/drawing/2014/chart" uri="{C3380CC4-5D6E-409C-BE32-E72D297353CC}">
              <c16:uniqueId val="{00000010-5CFD-4910-A29F-6BF6DC2A738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23</Pages>
  <Words>5467</Words>
  <Characters>31166</Characters>
  <Application>Microsoft Office Word</Application>
  <DocSecurity>0</DocSecurity>
  <Lines>259</Lines>
  <Paragraphs>73</Paragraphs>
  <ScaleCrop>false</ScaleCrop>
  <Company/>
  <LinksUpToDate>false</LinksUpToDate>
  <CharactersWithSpaces>36560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Вика</dc:creator>
  <cp:keywords/>
  <dc:description/>
  <cp:lastModifiedBy>Вика</cp:lastModifiedBy>
  <cp:revision>2</cp:revision>
  <dcterms:created xsi:type="dcterms:W3CDTF">2025-06-06T17:37:00Z</dcterms:created>
  <dcterms:modified xsi:type="dcterms:W3CDTF">2025-06-06T17:45:00Z</dcterms:modified>
</cp:coreProperties>
</file>