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7E1177" w14:textId="77777777" w:rsidR="0025671A" w:rsidRDefault="00D74137" w:rsidP="00C92587">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НАЦІОНАЛЬНИЙ УНІВЕРСИТЕТ ФІЗИЧНОГО </w:t>
      </w:r>
      <w:r>
        <w:rPr>
          <w:noProof/>
        </w:rPr>
        <mc:AlternateContent>
          <mc:Choice Requires="wps">
            <w:drawing>
              <wp:anchor distT="0" distB="0" distL="114300" distR="114300" simplePos="0" relativeHeight="251658240" behindDoc="0" locked="0" layoutInCell="1" hidden="0" allowOverlap="1" wp14:anchorId="6DC16D0A" wp14:editId="3080FB77">
                <wp:simplePos x="0" y="0"/>
                <wp:positionH relativeFrom="column">
                  <wp:posOffset>5270500</wp:posOffset>
                </wp:positionH>
                <wp:positionV relativeFrom="paragraph">
                  <wp:posOffset>-787399</wp:posOffset>
                </wp:positionV>
                <wp:extent cx="1221844" cy="1033107"/>
                <wp:effectExtent l="0" t="0" r="0" b="0"/>
                <wp:wrapNone/>
                <wp:docPr id="1" name="Прямоугольник 1"/>
                <wp:cNvGraphicFramePr/>
                <a:graphic xmlns:a="http://schemas.openxmlformats.org/drawingml/2006/main">
                  <a:graphicData uri="http://schemas.microsoft.com/office/word/2010/wordprocessingShape">
                    <wps:wsp>
                      <wps:cNvSpPr/>
                      <wps:spPr>
                        <a:xfrm>
                          <a:off x="4739841" y="3268209"/>
                          <a:ext cx="1212319" cy="1023582"/>
                        </a:xfrm>
                        <a:prstGeom prst="rect">
                          <a:avLst/>
                        </a:prstGeom>
                        <a:solidFill>
                          <a:schemeClr val="lt1"/>
                        </a:solidFill>
                        <a:ln>
                          <a:noFill/>
                        </a:ln>
                      </wps:spPr>
                      <wps:txbx>
                        <w:txbxContent>
                          <w:p w14:paraId="191D35E8" w14:textId="77777777" w:rsidR="0039605B" w:rsidRDefault="0039605B">
                            <w:pPr>
                              <w:spacing w:line="258" w:lineRule="auto"/>
                              <w:textDirection w:val="btLr"/>
                            </w:pPr>
                          </w:p>
                        </w:txbxContent>
                      </wps:txbx>
                      <wps:bodyPr spcFirstLastPara="1" wrap="square" lIns="91425" tIns="45700" rIns="91425" bIns="4570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DC16D0A" id="Прямоугольник 1" o:spid="_x0000_s1026" style="position:absolute;left:0;text-align:left;margin-left:415pt;margin-top:-62pt;width:96.2pt;height:81.3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" fillcolor="white [3201]" stroked="f">
                <v:textbox inset="2.53958mm,1.2694mm,2.53958mm,1.2694mm">
                  <w:txbxContent>
                    <w:p w14:paraId="191D35E8" w14:textId="77777777" w:rsidR="0039605B" w:rsidRDefault="0039605B">
                      <w:pPr>
                        <w:spacing w:line="258" w:lineRule="auto"/>
                        <w:textDirection w:val="btLr"/>
                      </w:pPr>
                    </w:p>
                  </w:txbxContent>
                </v:textbox>
              </v:rect>
            </w:pict>
          </mc:Fallback>
        </mc:AlternateContent>
      </w:r>
    </w:p>
    <w:p w14:paraId="0270F64C" w14:textId="77777777" w:rsidR="0025671A" w:rsidRDefault="00D74137">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ВИХОВАННЯ І СПОРТУ УКРАЇНИ</w:t>
      </w:r>
    </w:p>
    <w:p w14:paraId="629D66BD" w14:textId="77777777" w:rsidR="0025671A" w:rsidRDefault="0025671A" w:rsidP="00C92587">
      <w:pPr>
        <w:spacing w:after="0" w:line="276" w:lineRule="auto"/>
        <w:rPr>
          <w:rFonts w:ascii="Times New Roman" w:eastAsia="Times New Roman" w:hAnsi="Times New Roman" w:cs="Times New Roman"/>
          <w:sz w:val="14"/>
          <w:szCs w:val="14"/>
        </w:rPr>
      </w:pPr>
    </w:p>
    <w:p w14:paraId="4B7B55EC" w14:textId="77777777" w:rsidR="0025671A" w:rsidRDefault="00D74137">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НАВЧАЛЬНО-НАУКОВИЙ ІНСТИТУТ ЗДОРОВ`Я, РЕАБІЛІТАЦІЇ ТА ФІЗИЧНОГО ВИХОВАННЯ</w:t>
      </w:r>
    </w:p>
    <w:p w14:paraId="559C22D6" w14:textId="77777777" w:rsidR="0025671A" w:rsidRDefault="0025671A">
      <w:pPr>
        <w:spacing w:after="0" w:line="276" w:lineRule="auto"/>
        <w:jc w:val="center"/>
        <w:rPr>
          <w:rFonts w:ascii="Times New Roman" w:eastAsia="Times New Roman" w:hAnsi="Times New Roman" w:cs="Times New Roman"/>
          <w:sz w:val="14"/>
          <w:szCs w:val="14"/>
        </w:rPr>
      </w:pPr>
    </w:p>
    <w:p w14:paraId="61F15F5B" w14:textId="77777777" w:rsidR="0025671A" w:rsidRDefault="00D74137">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ТЕОРІЇ І МЕТОДИКИ ФІЗИЧНОГО ВИХОВАННЯ</w:t>
      </w:r>
    </w:p>
    <w:p w14:paraId="5E6C7A40" w14:textId="77777777" w:rsidR="0025671A" w:rsidRDefault="0025671A">
      <w:pPr>
        <w:spacing w:after="0" w:line="276" w:lineRule="auto"/>
        <w:jc w:val="both"/>
        <w:rPr>
          <w:rFonts w:ascii="Times New Roman" w:eastAsia="Times New Roman" w:hAnsi="Times New Roman" w:cs="Times New Roman"/>
          <w:sz w:val="28"/>
          <w:szCs w:val="28"/>
        </w:rPr>
      </w:pPr>
    </w:p>
    <w:p w14:paraId="029AC544" w14:textId="77777777" w:rsidR="0025671A" w:rsidRDefault="0025671A">
      <w:pPr>
        <w:spacing w:after="0" w:line="276" w:lineRule="auto"/>
        <w:jc w:val="both"/>
        <w:rPr>
          <w:rFonts w:ascii="Times New Roman" w:eastAsia="Times New Roman" w:hAnsi="Times New Roman" w:cs="Times New Roman"/>
          <w:sz w:val="28"/>
          <w:szCs w:val="28"/>
        </w:rPr>
      </w:pPr>
    </w:p>
    <w:p w14:paraId="068E7748" w14:textId="77777777" w:rsidR="0025671A" w:rsidRPr="00C92587" w:rsidRDefault="00D74137">
      <w:pPr>
        <w:spacing w:after="0" w:line="276" w:lineRule="auto"/>
        <w:jc w:val="center"/>
        <w:rPr>
          <w:rFonts w:ascii="Times New Roman" w:eastAsia="Times New Roman" w:hAnsi="Times New Roman" w:cs="Times New Roman"/>
          <w:sz w:val="30"/>
          <w:szCs w:val="30"/>
        </w:rPr>
      </w:pPr>
      <w:r w:rsidRPr="00C92587">
        <w:rPr>
          <w:rFonts w:ascii="Times New Roman" w:eastAsia="Times New Roman" w:hAnsi="Times New Roman" w:cs="Times New Roman"/>
          <w:sz w:val="30"/>
          <w:szCs w:val="30"/>
        </w:rPr>
        <w:t>КВАЛІФІКАЦІЙНА РОБОТА</w:t>
      </w:r>
    </w:p>
    <w:p w14:paraId="2282B3C4" w14:textId="77777777" w:rsidR="0025671A" w:rsidRDefault="0025671A">
      <w:pPr>
        <w:spacing w:after="0" w:line="276" w:lineRule="auto"/>
        <w:jc w:val="center"/>
        <w:rPr>
          <w:rFonts w:ascii="Times New Roman" w:eastAsia="Times New Roman" w:hAnsi="Times New Roman" w:cs="Times New Roman"/>
          <w:b/>
          <w:sz w:val="10"/>
          <w:szCs w:val="10"/>
        </w:rPr>
      </w:pPr>
    </w:p>
    <w:p w14:paraId="0B372FED" w14:textId="77777777" w:rsidR="0025671A" w:rsidRDefault="00D74137">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вищої освіти ступеня магістра</w:t>
      </w:r>
    </w:p>
    <w:p w14:paraId="5F36577F" w14:textId="77777777" w:rsidR="0025671A" w:rsidRDefault="00D74137">
      <w:pPr>
        <w:tabs>
          <w:tab w:val="left" w:pos="3402"/>
        </w:tabs>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спеціальністю 017 Фізична культура і спорт</w:t>
      </w:r>
    </w:p>
    <w:p w14:paraId="2A0E1327" w14:textId="77777777" w:rsidR="00C92587" w:rsidRDefault="00D74137" w:rsidP="00C92587">
      <w:pPr>
        <w:tabs>
          <w:tab w:val="left" w:pos="4111"/>
        </w:tabs>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спеціалізація «Фізичне виховання»</w:t>
      </w:r>
    </w:p>
    <w:p w14:paraId="4B01CE4C" w14:textId="77777777" w:rsidR="00C92587" w:rsidRDefault="00D74137" w:rsidP="00C92587">
      <w:pPr>
        <w:tabs>
          <w:tab w:val="left" w:pos="4111"/>
        </w:tabs>
        <w:spacing w:after="0" w:line="27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тему: </w:t>
      </w:r>
    </w:p>
    <w:p w14:paraId="460CA9E2" w14:textId="61B5E637" w:rsidR="0025671A" w:rsidRPr="00C92587" w:rsidRDefault="00C92587" w:rsidP="00C92587">
      <w:pPr>
        <w:tabs>
          <w:tab w:val="left" w:pos="4111"/>
        </w:tabs>
        <w:spacing w:after="0" w:line="360" w:lineRule="auto"/>
        <w:jc w:val="center"/>
        <w:rPr>
          <w:rFonts w:ascii="Times New Roman" w:eastAsia="Times New Roman" w:hAnsi="Times New Roman" w:cs="Times New Roman"/>
          <w:sz w:val="24"/>
          <w:szCs w:val="28"/>
        </w:rPr>
      </w:pPr>
      <w:r w:rsidRPr="00C92587">
        <w:rPr>
          <w:rFonts w:ascii="Times New Roman" w:eastAsia="Times New Roman" w:hAnsi="Times New Roman" w:cs="Times New Roman"/>
          <w:b/>
          <w:color w:val="000000"/>
          <w:sz w:val="28"/>
          <w:szCs w:val="32"/>
        </w:rPr>
        <w:t>ОРГАНІЗАЦІЯ ІГРОВОЇ  ДІЯЛЬНОСТІ ДІТЕЙ МОЛОДШОГО ШКІЛЬНОГО ВІКУ ЗАСОБАМИ ІННОВАЦІЙНИХ ТЕХНОЛОГІЙ ФІЗИЧНОГО ВИХОВАННЯ</w:t>
      </w:r>
    </w:p>
    <w:p w14:paraId="6EDE1080" w14:textId="77777777" w:rsidR="0025671A" w:rsidRDefault="0025671A">
      <w:pPr>
        <w:jc w:val="center"/>
        <w:rPr>
          <w:rFonts w:ascii="Times New Roman" w:eastAsia="Times New Roman" w:hAnsi="Times New Roman" w:cs="Times New Roman"/>
          <w:sz w:val="28"/>
          <w:szCs w:val="28"/>
        </w:rPr>
      </w:pPr>
    </w:p>
    <w:tbl>
      <w:tblPr>
        <w:tblStyle w:val="a5"/>
        <w:tblW w:w="5856" w:type="dxa"/>
        <w:tblInd w:w="3962" w:type="dxa"/>
        <w:tblBorders>
          <w:top w:val="nil"/>
          <w:left w:val="nil"/>
          <w:bottom w:val="nil"/>
          <w:right w:val="nil"/>
          <w:insideH w:val="nil"/>
          <w:insideV w:val="nil"/>
        </w:tblBorders>
        <w:tblLayout w:type="fixed"/>
        <w:tblLook w:val="0400" w:firstRow="0" w:lastRow="0" w:firstColumn="0" w:lastColumn="0" w:noHBand="0" w:noVBand="1"/>
      </w:tblPr>
      <w:tblGrid>
        <w:gridCol w:w="5856"/>
      </w:tblGrid>
      <w:tr w:rsidR="0025671A" w14:paraId="4093B553" w14:textId="77777777">
        <w:trPr>
          <w:trHeight w:val="3680"/>
        </w:trPr>
        <w:tc>
          <w:tcPr>
            <w:tcW w:w="5856" w:type="dxa"/>
          </w:tcPr>
          <w:p w14:paraId="582BF0B1" w14:textId="77777777" w:rsidR="0025671A" w:rsidRDefault="00D74137" w:rsidP="00C92587">
            <w:pPr>
              <w:pBdr>
                <w:top w:val="nil"/>
                <w:left w:val="nil"/>
                <w:bottom w:val="nil"/>
                <w:right w:val="nil"/>
                <w:between w:val="nil"/>
              </w:pBdr>
              <w:spacing w:after="0" w:line="276" w:lineRule="auto"/>
              <w:ind w:left="176" w:right="7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здобувача вищої освіти</w:t>
            </w:r>
          </w:p>
          <w:p w14:paraId="28BD8940" w14:textId="77777777" w:rsidR="0025671A" w:rsidRDefault="00D74137" w:rsidP="00C92587">
            <w:pPr>
              <w:pBdr>
                <w:top w:val="nil"/>
                <w:left w:val="nil"/>
                <w:bottom w:val="nil"/>
                <w:right w:val="nil"/>
                <w:between w:val="nil"/>
              </w:pBdr>
              <w:spacing w:after="0" w:line="276" w:lineRule="auto"/>
              <w:ind w:left="176" w:right="7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другого (магістерського) рівня</w:t>
            </w:r>
          </w:p>
          <w:p w14:paraId="0A4712A7" w14:textId="77777777" w:rsidR="0025671A" w:rsidRDefault="00D74137" w:rsidP="00C92587">
            <w:pPr>
              <w:pBdr>
                <w:top w:val="nil"/>
                <w:left w:val="nil"/>
                <w:bottom w:val="nil"/>
                <w:right w:val="nil"/>
                <w:between w:val="nil"/>
              </w:pBdr>
              <w:spacing w:after="0" w:line="276" w:lineRule="auto"/>
              <w:ind w:left="176" w:right="7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Поліщука Адріана </w:t>
            </w:r>
            <w:proofErr w:type="spellStart"/>
            <w:r>
              <w:rPr>
                <w:rFonts w:ascii="Times New Roman" w:eastAsia="Times New Roman" w:hAnsi="Times New Roman" w:cs="Times New Roman"/>
                <w:color w:val="000000"/>
                <w:sz w:val="28"/>
                <w:szCs w:val="28"/>
              </w:rPr>
              <w:t>Сальваторовича</w:t>
            </w:r>
            <w:proofErr w:type="spellEnd"/>
          </w:p>
          <w:p w14:paraId="061429A7" w14:textId="1B14A37C" w:rsidR="00BF486C" w:rsidRDefault="00D74137" w:rsidP="00C92587">
            <w:pPr>
              <w:pBdr>
                <w:top w:val="nil"/>
                <w:left w:val="nil"/>
                <w:bottom w:val="nil"/>
                <w:right w:val="nil"/>
                <w:between w:val="nil"/>
              </w:pBdr>
              <w:spacing w:after="0" w:line="276" w:lineRule="auto"/>
              <w:ind w:left="176" w:right="7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Науковий керівник: </w:t>
            </w:r>
            <w:proofErr w:type="spellStart"/>
            <w:r>
              <w:rPr>
                <w:rFonts w:ascii="Times New Roman" w:eastAsia="Times New Roman" w:hAnsi="Times New Roman" w:cs="Times New Roman"/>
                <w:color w:val="000000"/>
                <w:sz w:val="28"/>
                <w:szCs w:val="28"/>
              </w:rPr>
              <w:t>к</w:t>
            </w:r>
            <w:r w:rsidR="00BF486C">
              <w:rPr>
                <w:rFonts w:ascii="Times New Roman" w:eastAsia="Times New Roman" w:hAnsi="Times New Roman" w:cs="Times New Roman"/>
                <w:color w:val="000000"/>
                <w:sz w:val="28"/>
                <w:szCs w:val="28"/>
              </w:rPr>
              <w:t>анд</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10"/>
                <w:szCs w:val="10"/>
              </w:rPr>
              <w:t> </w:t>
            </w:r>
            <w:r>
              <w:rPr>
                <w:rFonts w:ascii="Times New Roman" w:eastAsia="Times New Roman" w:hAnsi="Times New Roman" w:cs="Times New Roman"/>
                <w:color w:val="000000"/>
                <w:sz w:val="28"/>
                <w:szCs w:val="28"/>
              </w:rPr>
              <w:t>пед.</w:t>
            </w:r>
            <w:r>
              <w:rPr>
                <w:rFonts w:ascii="Times New Roman" w:eastAsia="Times New Roman" w:hAnsi="Times New Roman" w:cs="Times New Roman"/>
                <w:color w:val="000000"/>
                <w:sz w:val="10"/>
                <w:szCs w:val="10"/>
              </w:rPr>
              <w:t> </w:t>
            </w:r>
            <w:r w:rsidR="00BF486C">
              <w:rPr>
                <w:rFonts w:ascii="Times New Roman" w:eastAsia="Times New Roman" w:hAnsi="Times New Roman" w:cs="Times New Roman"/>
                <w:color w:val="000000"/>
                <w:sz w:val="28"/>
                <w:szCs w:val="28"/>
              </w:rPr>
              <w:t>наук,</w:t>
            </w:r>
          </w:p>
          <w:p w14:paraId="63A33F32" w14:textId="4E8E9747" w:rsidR="0025671A" w:rsidRDefault="00D74137" w:rsidP="00C92587">
            <w:pPr>
              <w:pBdr>
                <w:top w:val="nil"/>
                <w:left w:val="nil"/>
                <w:bottom w:val="nil"/>
                <w:right w:val="nil"/>
                <w:between w:val="nil"/>
              </w:pBdr>
              <w:spacing w:after="0" w:line="276" w:lineRule="auto"/>
              <w:ind w:left="176" w:right="78"/>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Деренько</w:t>
            </w:r>
            <w:proofErr w:type="spellEnd"/>
            <w:r>
              <w:rPr>
                <w:rFonts w:ascii="Times New Roman" w:eastAsia="Times New Roman" w:hAnsi="Times New Roman" w:cs="Times New Roman"/>
                <w:color w:val="000000"/>
                <w:sz w:val="28"/>
                <w:szCs w:val="28"/>
              </w:rPr>
              <w:t xml:space="preserve"> В.</w:t>
            </w:r>
            <w:r>
              <w:rPr>
                <w:rFonts w:ascii="Times New Roman" w:eastAsia="Times New Roman" w:hAnsi="Times New Roman" w:cs="Times New Roman"/>
                <w:color w:val="000000"/>
                <w:sz w:val="14"/>
                <w:szCs w:val="14"/>
              </w:rPr>
              <w:t> </w:t>
            </w:r>
            <w:r>
              <w:rPr>
                <w:rFonts w:ascii="Times New Roman" w:eastAsia="Times New Roman" w:hAnsi="Times New Roman" w:cs="Times New Roman"/>
                <w:color w:val="000000"/>
                <w:sz w:val="28"/>
                <w:szCs w:val="28"/>
              </w:rPr>
              <w:t>М.</w:t>
            </w:r>
          </w:p>
          <w:p w14:paraId="0A076369" w14:textId="01D08C0A" w:rsidR="00BF486C" w:rsidRDefault="00D74137" w:rsidP="00C92587">
            <w:pPr>
              <w:pBdr>
                <w:top w:val="nil"/>
                <w:left w:val="nil"/>
                <w:bottom w:val="nil"/>
                <w:right w:val="nil"/>
                <w:between w:val="nil"/>
              </w:pBdr>
              <w:spacing w:after="0" w:line="276" w:lineRule="auto"/>
              <w:ind w:left="176" w:right="7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Рецензент: к.</w:t>
            </w:r>
            <w:r>
              <w:rPr>
                <w:rFonts w:ascii="Times New Roman" w:eastAsia="Times New Roman" w:hAnsi="Times New Roman" w:cs="Times New Roman"/>
                <w:color w:val="000000"/>
                <w:sz w:val="14"/>
                <w:szCs w:val="14"/>
              </w:rPr>
              <w:t> </w:t>
            </w:r>
            <w:proofErr w:type="spellStart"/>
            <w:r>
              <w:rPr>
                <w:rFonts w:ascii="Times New Roman" w:eastAsia="Times New Roman" w:hAnsi="Times New Roman" w:cs="Times New Roman"/>
                <w:color w:val="000000"/>
                <w:sz w:val="28"/>
                <w:szCs w:val="28"/>
              </w:rPr>
              <w:t>фіз</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14"/>
                <w:szCs w:val="14"/>
              </w:rPr>
              <w:t> </w:t>
            </w:r>
            <w:proofErr w:type="spellStart"/>
            <w:r>
              <w:rPr>
                <w:rFonts w:ascii="Times New Roman" w:eastAsia="Times New Roman" w:hAnsi="Times New Roman" w:cs="Times New Roman"/>
                <w:color w:val="000000"/>
                <w:sz w:val="28"/>
                <w:szCs w:val="28"/>
              </w:rPr>
              <w:t>вих</w:t>
            </w:r>
            <w:proofErr w:type="spellEnd"/>
            <w:r>
              <w:rPr>
                <w:rFonts w:ascii="Times New Roman" w:eastAsia="Times New Roman" w:hAnsi="Times New Roman" w:cs="Times New Roman"/>
                <w:color w:val="000000"/>
                <w:sz w:val="28"/>
                <w:szCs w:val="28"/>
              </w:rPr>
              <w:t>.</w:t>
            </w:r>
            <w:r w:rsidR="00BF486C">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
          <w:p w14:paraId="08BC59A7" w14:textId="4F4E4DB1" w:rsidR="0025671A" w:rsidRDefault="00D74137" w:rsidP="00C92587">
            <w:pPr>
              <w:pBdr>
                <w:top w:val="nil"/>
                <w:left w:val="nil"/>
                <w:bottom w:val="nil"/>
                <w:right w:val="nil"/>
                <w:between w:val="nil"/>
              </w:pBdr>
              <w:spacing w:after="0" w:line="276" w:lineRule="auto"/>
              <w:ind w:left="176" w:right="7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Матвієнко І. С.</w:t>
            </w:r>
          </w:p>
          <w:p w14:paraId="3CC81224" w14:textId="77777777" w:rsidR="0025671A" w:rsidRDefault="00D74137" w:rsidP="00C92587">
            <w:pPr>
              <w:pBdr>
                <w:top w:val="nil"/>
                <w:left w:val="nil"/>
                <w:bottom w:val="nil"/>
                <w:right w:val="nil"/>
                <w:between w:val="nil"/>
              </w:pBdr>
              <w:spacing w:after="0" w:line="276" w:lineRule="auto"/>
              <w:ind w:left="176" w:right="7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Рекомендовано до захисту на засіданні </w:t>
            </w:r>
          </w:p>
          <w:p w14:paraId="626CCAF0" w14:textId="77777777" w:rsidR="0025671A" w:rsidRDefault="00D74137" w:rsidP="00C92587">
            <w:pPr>
              <w:pBdr>
                <w:top w:val="nil"/>
                <w:left w:val="nil"/>
                <w:bottom w:val="nil"/>
                <w:right w:val="nil"/>
                <w:between w:val="nil"/>
              </w:pBdr>
              <w:spacing w:after="0" w:line="276" w:lineRule="auto"/>
              <w:ind w:left="176" w:right="7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кафедри (протокол №</w:t>
            </w:r>
            <w:r>
              <w:rPr>
                <w:rFonts w:ascii="Times New Roman" w:eastAsia="Times New Roman" w:hAnsi="Times New Roman" w:cs="Times New Roman"/>
                <w:color w:val="000000"/>
                <w:sz w:val="20"/>
                <w:szCs w:val="20"/>
              </w:rPr>
              <w:t> </w:t>
            </w:r>
            <w:r>
              <w:rPr>
                <w:rFonts w:ascii="Times New Roman" w:eastAsia="Times New Roman" w:hAnsi="Times New Roman" w:cs="Times New Roman"/>
                <w:color w:val="000000"/>
                <w:sz w:val="28"/>
                <w:szCs w:val="28"/>
              </w:rPr>
              <w:t>4 від 29.11.2024 року</w:t>
            </w:r>
          </w:p>
          <w:p w14:paraId="02B24D8E" w14:textId="77777777" w:rsidR="0025671A" w:rsidRDefault="00D74137" w:rsidP="00C92587">
            <w:pPr>
              <w:tabs>
                <w:tab w:val="left" w:pos="6663"/>
                <w:tab w:val="left" w:pos="6804"/>
              </w:tabs>
              <w:spacing w:after="0" w:line="276" w:lineRule="auto"/>
              <w:ind w:left="176" w:right="7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proofErr w:type="spellStart"/>
            <w:r>
              <w:rPr>
                <w:rFonts w:ascii="Times New Roman" w:eastAsia="Times New Roman" w:hAnsi="Times New Roman" w:cs="Times New Roman"/>
                <w:sz w:val="28"/>
                <w:szCs w:val="28"/>
              </w:rPr>
              <w:t>Трачук</w:t>
            </w:r>
            <w:proofErr w:type="spellEnd"/>
            <w:r>
              <w:rPr>
                <w:rFonts w:ascii="Times New Roman" w:eastAsia="Times New Roman" w:hAnsi="Times New Roman" w:cs="Times New Roman"/>
                <w:sz w:val="28"/>
                <w:szCs w:val="28"/>
              </w:rPr>
              <w:t xml:space="preserve"> С.</w:t>
            </w:r>
            <w:r>
              <w:rPr>
                <w:rFonts w:ascii="Times New Roman" w:eastAsia="Times New Roman" w:hAnsi="Times New Roman" w:cs="Times New Roman"/>
              </w:rPr>
              <w:t xml:space="preserve"> </w:t>
            </w:r>
            <w:r>
              <w:rPr>
                <w:rFonts w:ascii="Times New Roman" w:eastAsia="Times New Roman" w:hAnsi="Times New Roman" w:cs="Times New Roman"/>
                <w:sz w:val="28"/>
                <w:szCs w:val="28"/>
              </w:rPr>
              <w:t>В.</w:t>
            </w:r>
          </w:p>
          <w:p w14:paraId="0D55F770" w14:textId="77777777" w:rsidR="0025671A" w:rsidRDefault="00D74137" w:rsidP="00C92587">
            <w:pPr>
              <w:spacing w:after="0" w:line="276" w:lineRule="auto"/>
              <w:ind w:left="176" w:right="78"/>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Pr>
                <w:rFonts w:ascii="Times New Roman" w:eastAsia="Times New Roman" w:hAnsi="Times New Roman" w:cs="Times New Roman"/>
                <w:sz w:val="14"/>
                <w:szCs w:val="14"/>
              </w:rPr>
              <w:t> </w:t>
            </w:r>
            <w:proofErr w:type="spellStart"/>
            <w:r>
              <w:rPr>
                <w:rFonts w:ascii="Times New Roman" w:eastAsia="Times New Roman" w:hAnsi="Times New Roman" w:cs="Times New Roman"/>
                <w:sz w:val="28"/>
                <w:szCs w:val="28"/>
              </w:rPr>
              <w:t>фіз</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14"/>
                <w:szCs w:val="14"/>
              </w:rPr>
              <w:t> </w:t>
            </w:r>
            <w:proofErr w:type="spellStart"/>
            <w:r>
              <w:rPr>
                <w:rFonts w:ascii="Times New Roman" w:eastAsia="Times New Roman" w:hAnsi="Times New Roman" w:cs="Times New Roman"/>
                <w:sz w:val="28"/>
                <w:szCs w:val="28"/>
              </w:rPr>
              <w:t>вих</w:t>
            </w:r>
            <w:proofErr w:type="spellEnd"/>
            <w:r>
              <w:rPr>
                <w:rFonts w:ascii="Times New Roman" w:eastAsia="Times New Roman" w:hAnsi="Times New Roman" w:cs="Times New Roman"/>
                <w:sz w:val="28"/>
                <w:szCs w:val="28"/>
              </w:rPr>
              <w:t>., доцент</w:t>
            </w:r>
          </w:p>
          <w:p w14:paraId="360235AB" w14:textId="77777777" w:rsidR="0025671A" w:rsidRDefault="0025671A" w:rsidP="00C92587">
            <w:pPr>
              <w:spacing w:after="0" w:line="276" w:lineRule="auto"/>
              <w:ind w:left="176" w:right="78"/>
              <w:rPr>
                <w:rFonts w:ascii="Times New Roman" w:eastAsia="Times New Roman" w:hAnsi="Times New Roman" w:cs="Times New Roman"/>
                <w:sz w:val="10"/>
                <w:szCs w:val="10"/>
              </w:rPr>
            </w:pPr>
          </w:p>
          <w:p w14:paraId="0DD1B183" w14:textId="77777777" w:rsidR="0025671A" w:rsidRDefault="0025671A" w:rsidP="00C92587">
            <w:pPr>
              <w:spacing w:after="0" w:line="276" w:lineRule="auto"/>
              <w:ind w:right="78"/>
              <w:rPr>
                <w:rFonts w:ascii="Times New Roman" w:eastAsia="Times New Roman" w:hAnsi="Times New Roman" w:cs="Times New Roman"/>
                <w:sz w:val="28"/>
                <w:szCs w:val="28"/>
              </w:rPr>
            </w:pPr>
          </w:p>
        </w:tc>
      </w:tr>
    </w:tbl>
    <w:p w14:paraId="7D9FF69C" w14:textId="77777777" w:rsidR="0025671A" w:rsidRDefault="0025671A">
      <w:pPr>
        <w:spacing w:after="0" w:line="200" w:lineRule="auto"/>
        <w:ind w:right="-147"/>
        <w:rPr>
          <w:rFonts w:ascii="Times New Roman" w:eastAsia="Times New Roman" w:hAnsi="Times New Roman" w:cs="Times New Roman"/>
          <w:sz w:val="20"/>
          <w:szCs w:val="20"/>
        </w:rPr>
      </w:pPr>
    </w:p>
    <w:p w14:paraId="1F4C3232" w14:textId="77777777" w:rsidR="0025671A" w:rsidRDefault="0025671A">
      <w:pPr>
        <w:pBdr>
          <w:top w:val="nil"/>
          <w:left w:val="nil"/>
          <w:bottom w:val="nil"/>
          <w:right w:val="nil"/>
          <w:between w:val="nil"/>
        </w:pBdr>
        <w:spacing w:after="0" w:line="360" w:lineRule="auto"/>
        <w:jc w:val="center"/>
        <w:rPr>
          <w:rFonts w:ascii="Times New Roman" w:eastAsia="Times New Roman" w:hAnsi="Times New Roman" w:cs="Times New Roman"/>
          <w:b/>
          <w:color w:val="000000"/>
          <w:sz w:val="14"/>
          <w:szCs w:val="14"/>
        </w:rPr>
      </w:pPr>
    </w:p>
    <w:p w14:paraId="778228DA" w14:textId="77777777" w:rsidR="00C92587" w:rsidRDefault="00C92587">
      <w:pPr>
        <w:pBdr>
          <w:top w:val="nil"/>
          <w:left w:val="nil"/>
          <w:bottom w:val="nil"/>
          <w:right w:val="nil"/>
          <w:between w:val="nil"/>
        </w:pBdr>
        <w:spacing w:after="0" w:line="360" w:lineRule="auto"/>
        <w:jc w:val="center"/>
        <w:rPr>
          <w:rFonts w:ascii="Times New Roman" w:eastAsia="Times New Roman" w:hAnsi="Times New Roman" w:cs="Times New Roman"/>
          <w:b/>
          <w:color w:val="000000"/>
          <w:sz w:val="14"/>
          <w:szCs w:val="14"/>
        </w:rPr>
      </w:pPr>
    </w:p>
    <w:p w14:paraId="576619EC" w14:textId="77777777" w:rsidR="00C92587" w:rsidRDefault="00C92587">
      <w:pPr>
        <w:pBdr>
          <w:top w:val="nil"/>
          <w:left w:val="nil"/>
          <w:bottom w:val="nil"/>
          <w:right w:val="nil"/>
          <w:between w:val="nil"/>
        </w:pBdr>
        <w:spacing w:after="0" w:line="360" w:lineRule="auto"/>
        <w:jc w:val="center"/>
        <w:rPr>
          <w:rFonts w:ascii="Times New Roman" w:eastAsia="Times New Roman" w:hAnsi="Times New Roman" w:cs="Times New Roman"/>
          <w:b/>
          <w:color w:val="000000"/>
          <w:sz w:val="14"/>
          <w:szCs w:val="14"/>
        </w:rPr>
      </w:pPr>
    </w:p>
    <w:p w14:paraId="02FD4DC7" w14:textId="77777777" w:rsidR="00C92587" w:rsidRDefault="00C92587">
      <w:pPr>
        <w:pBdr>
          <w:top w:val="nil"/>
          <w:left w:val="nil"/>
          <w:bottom w:val="nil"/>
          <w:right w:val="nil"/>
          <w:between w:val="nil"/>
        </w:pBdr>
        <w:spacing w:after="0" w:line="360" w:lineRule="auto"/>
        <w:jc w:val="center"/>
        <w:rPr>
          <w:rFonts w:ascii="Times New Roman" w:eastAsia="Times New Roman" w:hAnsi="Times New Roman" w:cs="Times New Roman"/>
          <w:b/>
          <w:color w:val="000000"/>
          <w:sz w:val="14"/>
          <w:szCs w:val="14"/>
        </w:rPr>
      </w:pPr>
    </w:p>
    <w:p w14:paraId="2E129357" w14:textId="77777777" w:rsidR="00C92587" w:rsidRDefault="00C92587" w:rsidP="00BF486C">
      <w:pPr>
        <w:spacing w:after="0" w:line="360" w:lineRule="auto"/>
        <w:jc w:val="center"/>
        <w:rPr>
          <w:rFonts w:ascii="Times New Roman" w:eastAsia="Times New Roman" w:hAnsi="Times New Roman" w:cs="Times New Roman"/>
          <w:b/>
          <w:sz w:val="28"/>
          <w:szCs w:val="28"/>
        </w:rPr>
      </w:pPr>
    </w:p>
    <w:p w14:paraId="19AB32EB" w14:textId="77777777" w:rsidR="00C92587" w:rsidRDefault="00C92587" w:rsidP="00BF486C">
      <w:pPr>
        <w:spacing w:after="0" w:line="360" w:lineRule="auto"/>
        <w:jc w:val="center"/>
        <w:rPr>
          <w:rFonts w:ascii="Times New Roman" w:eastAsia="Times New Roman" w:hAnsi="Times New Roman" w:cs="Times New Roman"/>
          <w:b/>
          <w:sz w:val="28"/>
          <w:szCs w:val="28"/>
        </w:rPr>
      </w:pPr>
    </w:p>
    <w:p w14:paraId="57CD31B1" w14:textId="77777777" w:rsidR="00C92587" w:rsidRDefault="00C92587" w:rsidP="00BF486C">
      <w:pPr>
        <w:spacing w:after="0" w:line="360" w:lineRule="auto"/>
        <w:jc w:val="center"/>
        <w:rPr>
          <w:rFonts w:ascii="Times New Roman" w:eastAsia="Times New Roman" w:hAnsi="Times New Roman" w:cs="Times New Roman"/>
          <w:b/>
          <w:sz w:val="28"/>
          <w:szCs w:val="28"/>
        </w:rPr>
      </w:pPr>
    </w:p>
    <w:p w14:paraId="14D4595A" w14:textId="587D5A08" w:rsidR="0025671A" w:rsidRDefault="00D74137" w:rsidP="00BF486C">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 – 2024</w:t>
      </w:r>
    </w:p>
    <w:p w14:paraId="31749DE6" w14:textId="77777777" w:rsidR="0025671A" w:rsidRDefault="00D7413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sdt>
      <w:sdtPr>
        <w:id w:val="13897607"/>
        <w:docPartObj>
          <w:docPartGallery w:val="Table of Contents"/>
          <w:docPartUnique/>
        </w:docPartObj>
      </w:sdtPr>
      <w:sdtEndPr/>
      <w:sdtContent>
        <w:p w14:paraId="61DA4FFA" w14:textId="77777777" w:rsidR="0025671A" w:rsidRDefault="00D74137">
          <w:pPr>
            <w:keepNext/>
            <w:keepLines/>
            <w:pBdr>
              <w:top w:val="nil"/>
              <w:left w:val="nil"/>
              <w:bottom w:val="nil"/>
              <w:right w:val="nil"/>
              <w:between w:val="nil"/>
            </w:pBdr>
            <w:spacing w:before="240" w:after="0"/>
            <w:rPr>
              <w:rFonts w:ascii="Times New Roman" w:eastAsia="Times New Roman" w:hAnsi="Times New Roman" w:cs="Times New Roman"/>
              <w:b/>
              <w:color w:val="000000"/>
              <w:sz w:val="28"/>
              <w:szCs w:val="28"/>
            </w:rPr>
          </w:pPr>
          <w:r>
            <w:fldChar w:fldCharType="begin"/>
          </w:r>
          <w:r>
            <w:instrText xml:space="preserve"> TOC \h \u \z \t "Heading 1,1,Heading 2,2,Heading 3,3,"</w:instrText>
          </w:r>
          <w:r>
            <w:fldChar w:fldCharType="separate"/>
          </w:r>
          <w:hyperlink w:anchor="_gjdgxs">
            <w:r>
              <w:rPr>
                <w:rFonts w:ascii="Times New Roman" w:eastAsia="Times New Roman" w:hAnsi="Times New Roman" w:cs="Times New Roman"/>
                <w:b/>
                <w:smallCaps/>
                <w:color w:val="000000"/>
                <w:sz w:val="28"/>
                <w:szCs w:val="28"/>
              </w:rPr>
              <w:t>ВСТУП</w:t>
            </w:r>
          </w:hyperlink>
          <w:hyperlink w:anchor="_gjdgxs">
            <w:r>
              <w:rPr>
                <w:rFonts w:ascii="Times New Roman" w:eastAsia="Times New Roman" w:hAnsi="Times New Roman" w:cs="Times New Roman"/>
                <w:smallCaps/>
                <w:color w:val="000000"/>
                <w:sz w:val="28"/>
                <w:szCs w:val="28"/>
              </w:rPr>
              <w:t>………………………………………………………………………...…….</w:t>
            </w:r>
          </w:hyperlink>
          <w:hyperlink w:anchor="_gjdgxs">
            <w:r>
              <w:rPr>
                <w:rFonts w:ascii="Times New Roman" w:eastAsia="Times New Roman" w:hAnsi="Times New Roman" w:cs="Times New Roman"/>
                <w:color w:val="000000"/>
                <w:sz w:val="28"/>
                <w:szCs w:val="28"/>
              </w:rPr>
              <w:t>3</w:t>
            </w:r>
          </w:hyperlink>
        </w:p>
        <w:p w14:paraId="0F3B1858"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30j0zll">
            <w:r w:rsidR="00D74137">
              <w:rPr>
                <w:rFonts w:ascii="Times New Roman" w:eastAsia="Times New Roman" w:hAnsi="Times New Roman" w:cs="Times New Roman"/>
                <w:b/>
                <w:smallCaps/>
                <w:color w:val="000000"/>
                <w:sz w:val="28"/>
                <w:szCs w:val="28"/>
              </w:rPr>
              <w:t>РОЗДІЛ 1. ТЕОРЕТИКО-МЕТОДОЛОГІЧНІ ЗАСАДИ ІГРОВОЇ  ДІЯЛЬНОСТІ ДІТЕЙ МОЛОДШОГО ШКІЛЬНОГО ВІКУ ЗАСОБАМИ ІННОВАЦІЙНИХ ТЕХНОЛОГІЙ ФІЗИЧНОГО ВИХОВАННЯ</w:t>
            </w:r>
          </w:hyperlink>
          <w:hyperlink w:anchor="_30j0zll">
            <w:r w:rsidR="00D74137">
              <w:rPr>
                <w:rFonts w:ascii="Times New Roman" w:eastAsia="Times New Roman" w:hAnsi="Times New Roman" w:cs="Times New Roman"/>
                <w:color w:val="000000"/>
                <w:sz w:val="28"/>
                <w:szCs w:val="28"/>
              </w:rPr>
              <w:t>……………6</w:t>
            </w:r>
          </w:hyperlink>
        </w:p>
        <w:p w14:paraId="6921985F"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1fob9te">
            <w:r w:rsidR="00D74137">
              <w:rPr>
                <w:rFonts w:ascii="Times New Roman" w:eastAsia="Times New Roman" w:hAnsi="Times New Roman" w:cs="Times New Roman"/>
                <w:color w:val="000000"/>
                <w:sz w:val="28"/>
                <w:szCs w:val="28"/>
              </w:rPr>
              <w:t>1.1. Особливості психофізичного розвитку дітей молодшого шкільного віку</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6</w:t>
            </w:r>
          </w:hyperlink>
        </w:p>
        <w:p w14:paraId="48DF5B63"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3znysh7">
            <w:r w:rsidR="00D74137">
              <w:rPr>
                <w:rFonts w:ascii="Times New Roman" w:eastAsia="Times New Roman" w:hAnsi="Times New Roman" w:cs="Times New Roman"/>
                <w:color w:val="000000"/>
                <w:sz w:val="28"/>
                <w:szCs w:val="28"/>
              </w:rPr>
              <w:t>1.2. Поняття та характеристика засобів інноваційних технологій фізичного виховання</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16</w:t>
            </w:r>
          </w:hyperlink>
        </w:p>
        <w:p w14:paraId="3BC1CDDD"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2et92p0">
            <w:r w:rsidR="00D74137">
              <w:rPr>
                <w:rFonts w:ascii="Times New Roman" w:eastAsia="Times New Roman" w:hAnsi="Times New Roman" w:cs="Times New Roman"/>
                <w:color w:val="000000"/>
                <w:sz w:val="28"/>
                <w:szCs w:val="28"/>
              </w:rPr>
              <w:t>1.3. Види засобів інноваційних технологій фізичного виховання</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21</w:t>
            </w:r>
          </w:hyperlink>
        </w:p>
        <w:p w14:paraId="15037C84"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tyjcwt">
            <w:r w:rsidR="00D74137">
              <w:rPr>
                <w:rFonts w:ascii="Times New Roman" w:eastAsia="Times New Roman" w:hAnsi="Times New Roman" w:cs="Times New Roman"/>
                <w:color w:val="000000"/>
                <w:sz w:val="28"/>
                <w:szCs w:val="28"/>
              </w:rPr>
              <w:t>Висновки до розділу 1</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24</w:t>
            </w:r>
          </w:hyperlink>
        </w:p>
        <w:p w14:paraId="41CC96A4"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b/>
              <w:color w:val="000000"/>
              <w:sz w:val="28"/>
              <w:szCs w:val="28"/>
            </w:rPr>
          </w:pPr>
          <w:hyperlink w:anchor="_3dy6vkm">
            <w:r w:rsidR="00D74137">
              <w:rPr>
                <w:rFonts w:ascii="Times New Roman" w:eastAsia="Times New Roman" w:hAnsi="Times New Roman" w:cs="Times New Roman"/>
                <w:b/>
                <w:smallCaps/>
                <w:color w:val="000000"/>
                <w:sz w:val="28"/>
                <w:szCs w:val="28"/>
              </w:rPr>
              <w:t>РОЗДІЛ 2. МЕТОДИ ДОСЛІДЖЕННЯ</w:t>
            </w:r>
          </w:hyperlink>
          <w:r w:rsidR="008B4D2B">
            <w:rPr>
              <w:rFonts w:ascii="Times New Roman" w:eastAsia="Times New Roman" w:hAnsi="Times New Roman" w:cs="Times New Roman"/>
              <w:b/>
              <w:smallCaps/>
              <w:color w:val="000000"/>
              <w:sz w:val="28"/>
              <w:szCs w:val="28"/>
            </w:rPr>
            <w:t>……………………………………….</w:t>
          </w:r>
          <w:hyperlink w:anchor="_3dy6vkm">
            <w:r w:rsidR="00D74137">
              <w:rPr>
                <w:rFonts w:ascii="Times New Roman" w:eastAsia="Times New Roman" w:hAnsi="Times New Roman" w:cs="Times New Roman"/>
                <w:color w:val="000000"/>
                <w:sz w:val="28"/>
                <w:szCs w:val="28"/>
              </w:rPr>
              <w:tab/>
              <w:t>27</w:t>
            </w:r>
          </w:hyperlink>
        </w:p>
        <w:p w14:paraId="60BBDE61" w14:textId="77777777" w:rsidR="0025671A" w:rsidRDefault="00D74137">
          <w:pPr>
            <w:rPr>
              <w:rFonts w:ascii="Times New Roman" w:eastAsia="Times New Roman" w:hAnsi="Times New Roman" w:cs="Times New Roman"/>
              <w:sz w:val="28"/>
              <w:szCs w:val="28"/>
            </w:rPr>
          </w:pPr>
          <w:r>
            <w:rPr>
              <w:rFonts w:ascii="Times New Roman" w:eastAsia="Times New Roman" w:hAnsi="Times New Roman" w:cs="Times New Roman"/>
              <w:sz w:val="28"/>
              <w:szCs w:val="28"/>
            </w:rPr>
            <w:t>2.1. Методи дослідження…………………………………………………………..27</w:t>
          </w:r>
        </w:p>
        <w:p w14:paraId="224F100C"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4d34og8">
            <w:r w:rsidR="00D74137">
              <w:rPr>
                <w:rFonts w:ascii="Times New Roman" w:eastAsia="Times New Roman" w:hAnsi="Times New Roman" w:cs="Times New Roman"/>
                <w:color w:val="000000"/>
                <w:sz w:val="28"/>
                <w:szCs w:val="28"/>
              </w:rPr>
              <w:t>2.1.1. Теоретичний аналіз і узагальнення літературних джерел</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27</w:t>
            </w:r>
          </w:hyperlink>
        </w:p>
        <w:p w14:paraId="4E2769E9"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2s8eyo1">
            <w:r w:rsidR="00D74137">
              <w:rPr>
                <w:rFonts w:ascii="Times New Roman" w:eastAsia="Times New Roman" w:hAnsi="Times New Roman" w:cs="Times New Roman"/>
                <w:color w:val="000000"/>
                <w:sz w:val="28"/>
                <w:szCs w:val="28"/>
              </w:rPr>
              <w:t>2.1.2. Антропометричні методи дослідження</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29</w:t>
            </w:r>
          </w:hyperlink>
        </w:p>
        <w:p w14:paraId="5916E968"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17dp8vu">
            <w:r w:rsidR="00D74137">
              <w:rPr>
                <w:rFonts w:ascii="Times New Roman" w:eastAsia="Times New Roman" w:hAnsi="Times New Roman" w:cs="Times New Roman"/>
                <w:color w:val="000000"/>
                <w:sz w:val="28"/>
                <w:szCs w:val="28"/>
              </w:rPr>
              <w:t>2.1.3.Фізіологічні методи дослідження (тонометрія, пульсометрія, спірометрія)…………………………………………………………………………31</w:t>
            </w:r>
          </w:hyperlink>
        </w:p>
        <w:p w14:paraId="5F052BD9"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3rdcrjn">
            <w:r w:rsidR="00D74137">
              <w:rPr>
                <w:rFonts w:ascii="Times New Roman" w:eastAsia="Times New Roman" w:hAnsi="Times New Roman" w:cs="Times New Roman"/>
                <w:color w:val="000000"/>
                <w:sz w:val="28"/>
                <w:szCs w:val="28"/>
              </w:rPr>
              <w:t>2.1.4. Педагогічні методи дослідження</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34</w:t>
            </w:r>
          </w:hyperlink>
        </w:p>
        <w:p w14:paraId="64700157"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26in1rg">
            <w:r w:rsidR="00D74137">
              <w:rPr>
                <w:rFonts w:ascii="Times New Roman" w:eastAsia="Times New Roman" w:hAnsi="Times New Roman" w:cs="Times New Roman"/>
                <w:color w:val="000000"/>
                <w:sz w:val="28"/>
                <w:szCs w:val="28"/>
              </w:rPr>
              <w:t>2.1.5. Статистичні методи обробки отриманих даних</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36</w:t>
            </w:r>
          </w:hyperlink>
        </w:p>
        <w:p w14:paraId="37F05AD2" w14:textId="77777777" w:rsidR="0025671A" w:rsidRDefault="00D74137">
          <w:pPr>
            <w:rPr>
              <w:rFonts w:ascii="Times New Roman" w:eastAsia="Times New Roman" w:hAnsi="Times New Roman" w:cs="Times New Roman"/>
              <w:sz w:val="28"/>
              <w:szCs w:val="28"/>
            </w:rPr>
          </w:pPr>
          <w:r>
            <w:rPr>
              <w:rFonts w:ascii="Times New Roman" w:eastAsia="Times New Roman" w:hAnsi="Times New Roman" w:cs="Times New Roman"/>
              <w:sz w:val="28"/>
              <w:szCs w:val="28"/>
            </w:rPr>
            <w:t>2.2. Організація дослідження ……………………………………………………..38</w:t>
          </w:r>
        </w:p>
        <w:p w14:paraId="1AD8F991"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b/>
              <w:color w:val="000000"/>
              <w:sz w:val="28"/>
              <w:szCs w:val="28"/>
            </w:rPr>
          </w:pPr>
          <w:hyperlink w:anchor="_1ksv4uv">
            <w:r w:rsidR="00D74137">
              <w:rPr>
                <w:rFonts w:ascii="Times New Roman" w:eastAsia="Times New Roman" w:hAnsi="Times New Roman" w:cs="Times New Roman"/>
                <w:b/>
                <w:smallCaps/>
                <w:color w:val="000000"/>
                <w:sz w:val="28"/>
                <w:szCs w:val="28"/>
              </w:rPr>
              <w:t>РОЗДІЛ 3. ЕМПІРИЧНЕ ДОСЛІДЖЕННЯ ОРГАНІЗАЦІЇ ІГРОВОЇ  ДІЯЛЬНОСТІ ДІТЕЙ МОЛОДШОГО ШКІЛЬНОГО ВІКУ ЗАСОБАМИ ІННОВАЦІЙНИХ ТЕХНОЛОГІЙ ФІЗИЧНОГО ВИХОВАННЯ</w:t>
            </w:r>
          </w:hyperlink>
          <w:r w:rsidR="008B4D2B">
            <w:rPr>
              <w:rFonts w:ascii="Times New Roman" w:eastAsia="Times New Roman" w:hAnsi="Times New Roman" w:cs="Times New Roman"/>
              <w:b/>
              <w:smallCaps/>
              <w:color w:val="000000"/>
              <w:sz w:val="28"/>
              <w:szCs w:val="28"/>
            </w:rPr>
            <w:t>…………</w:t>
          </w:r>
          <w:hyperlink w:anchor="_1ksv4uv">
            <w:r w:rsidR="00D74137">
              <w:rPr>
                <w:rFonts w:ascii="Times New Roman" w:eastAsia="Times New Roman" w:hAnsi="Times New Roman" w:cs="Times New Roman"/>
                <w:color w:val="000000"/>
                <w:sz w:val="28"/>
                <w:szCs w:val="28"/>
              </w:rPr>
              <w:tab/>
              <w:t>40</w:t>
            </w:r>
          </w:hyperlink>
        </w:p>
        <w:p w14:paraId="10EAE9E6"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44sinio">
            <w:r w:rsidR="00D74137">
              <w:rPr>
                <w:rFonts w:ascii="Times New Roman" w:eastAsia="Times New Roman" w:hAnsi="Times New Roman" w:cs="Times New Roman"/>
                <w:color w:val="000000"/>
                <w:sz w:val="28"/>
                <w:szCs w:val="28"/>
              </w:rPr>
              <w:t>3.1. Організація дослідження ігрової діяльності дітей молодшого шкільного віку засобами інноваційних технологій фізичного виховання</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40</w:t>
            </w:r>
          </w:hyperlink>
        </w:p>
        <w:p w14:paraId="1F1BD534"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2jxsxqh">
            <w:r w:rsidR="00D74137">
              <w:rPr>
                <w:rFonts w:ascii="Times New Roman" w:eastAsia="Times New Roman" w:hAnsi="Times New Roman" w:cs="Times New Roman"/>
                <w:color w:val="000000"/>
                <w:sz w:val="28"/>
                <w:szCs w:val="28"/>
              </w:rPr>
              <w:t>3.2. Інтерпретація результатів дослідження організації ігрової  діяльності дітей молодшого шкільного віку засобами інноваційних технологій фізичного виховання</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54</w:t>
            </w:r>
          </w:hyperlink>
        </w:p>
        <w:p w14:paraId="09CEEBA9"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z337ya">
            <w:r w:rsidR="00D74137">
              <w:rPr>
                <w:rFonts w:ascii="Times New Roman" w:eastAsia="Times New Roman" w:hAnsi="Times New Roman" w:cs="Times New Roman"/>
                <w:color w:val="000000"/>
                <w:sz w:val="28"/>
                <w:szCs w:val="28"/>
              </w:rPr>
              <w:t>Висновки до розділу 3</w:t>
            </w:r>
            <w:r w:rsidR="008B4D2B">
              <w:rPr>
                <w:rFonts w:ascii="Times New Roman" w:eastAsia="Times New Roman" w:hAnsi="Times New Roman" w:cs="Times New Roman"/>
                <w:color w:val="000000"/>
                <w:sz w:val="28"/>
                <w:szCs w:val="28"/>
              </w:rPr>
              <w:t>……………………………………………………………</w:t>
            </w:r>
            <w:r w:rsidR="00D74137">
              <w:rPr>
                <w:rFonts w:ascii="Times New Roman" w:eastAsia="Times New Roman" w:hAnsi="Times New Roman" w:cs="Times New Roman"/>
                <w:color w:val="000000"/>
                <w:sz w:val="28"/>
                <w:szCs w:val="28"/>
              </w:rPr>
              <w:tab/>
              <w:t>58</w:t>
            </w:r>
          </w:hyperlink>
        </w:p>
        <w:p w14:paraId="6233559C"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3j2qqm3">
            <w:r w:rsidR="00D74137">
              <w:rPr>
                <w:rFonts w:ascii="Times New Roman" w:eastAsia="Times New Roman" w:hAnsi="Times New Roman" w:cs="Times New Roman"/>
                <w:b/>
                <w:smallCaps/>
                <w:color w:val="000000"/>
                <w:sz w:val="28"/>
                <w:szCs w:val="28"/>
              </w:rPr>
              <w:t>ВИСНОВКИ</w:t>
            </w:r>
          </w:hyperlink>
          <w:r w:rsidR="008B4D2B">
            <w:rPr>
              <w:rFonts w:ascii="Times New Roman" w:eastAsia="Times New Roman" w:hAnsi="Times New Roman" w:cs="Times New Roman"/>
              <w:b/>
              <w:smallCaps/>
              <w:color w:val="000000"/>
              <w:sz w:val="28"/>
              <w:szCs w:val="28"/>
            </w:rPr>
            <w:t>………………………………………………………………………</w:t>
          </w:r>
          <w:hyperlink w:anchor="_3j2qqm3">
            <w:r w:rsidR="00D74137">
              <w:rPr>
                <w:rFonts w:ascii="Times New Roman" w:eastAsia="Times New Roman" w:hAnsi="Times New Roman" w:cs="Times New Roman"/>
                <w:color w:val="000000"/>
                <w:sz w:val="28"/>
                <w:szCs w:val="28"/>
              </w:rPr>
              <w:tab/>
              <w:t>60</w:t>
            </w:r>
          </w:hyperlink>
        </w:p>
        <w:p w14:paraId="666829BF" w14:textId="77777777" w:rsidR="0025671A" w:rsidRDefault="006D14C0">
          <w:pPr>
            <w:pBdr>
              <w:top w:val="nil"/>
              <w:left w:val="nil"/>
              <w:bottom w:val="nil"/>
              <w:right w:val="nil"/>
              <w:between w:val="nil"/>
            </w:pBdr>
            <w:tabs>
              <w:tab w:val="right" w:pos="9628"/>
            </w:tabs>
            <w:spacing w:after="0" w:line="360" w:lineRule="auto"/>
            <w:jc w:val="both"/>
            <w:rPr>
              <w:rFonts w:ascii="Times New Roman" w:eastAsia="Times New Roman" w:hAnsi="Times New Roman" w:cs="Times New Roman"/>
              <w:color w:val="000000"/>
              <w:sz w:val="28"/>
              <w:szCs w:val="28"/>
            </w:rPr>
          </w:pPr>
          <w:hyperlink w:anchor="_1y810tw">
            <w:r w:rsidR="00D74137">
              <w:rPr>
                <w:rFonts w:ascii="Times New Roman" w:eastAsia="Times New Roman" w:hAnsi="Times New Roman" w:cs="Times New Roman"/>
                <w:b/>
                <w:smallCaps/>
                <w:color w:val="000000"/>
                <w:sz w:val="28"/>
                <w:szCs w:val="28"/>
              </w:rPr>
              <w:t>СПИСОК ВИКОРИСТАНИХ ДЖЕРЕЛ</w:t>
            </w:r>
          </w:hyperlink>
          <w:r w:rsidR="008B4D2B">
            <w:rPr>
              <w:rFonts w:ascii="Times New Roman" w:eastAsia="Times New Roman" w:hAnsi="Times New Roman" w:cs="Times New Roman"/>
              <w:b/>
              <w:smallCaps/>
              <w:color w:val="000000"/>
              <w:sz w:val="28"/>
              <w:szCs w:val="28"/>
            </w:rPr>
            <w:t>………………………………………</w:t>
          </w:r>
          <w:hyperlink w:anchor="_1y810tw">
            <w:r w:rsidR="00D74137">
              <w:rPr>
                <w:rFonts w:ascii="Times New Roman" w:eastAsia="Times New Roman" w:hAnsi="Times New Roman" w:cs="Times New Roman"/>
                <w:color w:val="000000"/>
                <w:sz w:val="28"/>
                <w:szCs w:val="28"/>
              </w:rPr>
              <w:tab/>
              <w:t>63</w:t>
            </w:r>
          </w:hyperlink>
          <w:r w:rsidR="00D74137">
            <w:fldChar w:fldCharType="end"/>
          </w:r>
        </w:p>
      </w:sdtContent>
    </w:sdt>
    <w:p w14:paraId="451669B1" w14:textId="77777777" w:rsidR="0025671A" w:rsidRDefault="00D74137">
      <w:pPr>
        <w:pStyle w:val="1"/>
        <w:spacing w:before="0" w:line="360" w:lineRule="auto"/>
        <w:jc w:val="center"/>
        <w:rPr>
          <w:rFonts w:ascii="Times New Roman" w:eastAsia="Times New Roman" w:hAnsi="Times New Roman" w:cs="Times New Roman"/>
          <w:b/>
          <w:smallCaps/>
          <w:color w:val="000000"/>
          <w:sz w:val="28"/>
          <w:szCs w:val="28"/>
        </w:rPr>
      </w:pPr>
      <w:bookmarkStart w:id="0" w:name="_gjdgxs" w:colFirst="0" w:colLast="0"/>
      <w:bookmarkEnd w:id="0"/>
      <w:r>
        <w:rPr>
          <w:rFonts w:ascii="Times New Roman" w:eastAsia="Times New Roman" w:hAnsi="Times New Roman" w:cs="Times New Roman"/>
          <w:b/>
          <w:smallCaps/>
          <w:color w:val="000000"/>
          <w:sz w:val="28"/>
          <w:szCs w:val="28"/>
        </w:rPr>
        <w:lastRenderedPageBreak/>
        <w:t>ВСТУП</w:t>
      </w:r>
    </w:p>
    <w:p w14:paraId="07E174F6" w14:textId="77777777" w:rsidR="0025671A" w:rsidRDefault="0025671A">
      <w:pPr>
        <w:spacing w:after="0" w:line="360" w:lineRule="auto"/>
        <w:ind w:firstLine="709"/>
        <w:jc w:val="both"/>
        <w:rPr>
          <w:rFonts w:ascii="Times New Roman" w:eastAsia="Times New Roman" w:hAnsi="Times New Roman" w:cs="Times New Roman"/>
          <w:sz w:val="28"/>
          <w:szCs w:val="28"/>
        </w:rPr>
      </w:pPr>
    </w:p>
    <w:p w14:paraId="6F50A3A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дослідження.</w:t>
      </w:r>
      <w:r>
        <w:rPr>
          <w:rFonts w:ascii="Times New Roman" w:eastAsia="Times New Roman" w:hAnsi="Times New Roman" w:cs="Times New Roman"/>
          <w:sz w:val="28"/>
          <w:szCs w:val="28"/>
        </w:rPr>
        <w:t xml:space="preserve"> Організації ігрової діяльності дітей молодшого шкільного віку засобами інноваційних технологій фізичного виховання полягає в кількох ключових аспектах. По-перше, сучасні діти часто проводять багато часу за екранами, що призводить до зниження фізичної активності та погіршення здоров’я. Використання інноваційних технологій у фізичному вихованні може зробити заняття більш цікавими та мотивуючими для дітей, сприяючи їхньому залученню до активного способу життя [5]. </w:t>
      </w:r>
    </w:p>
    <w:p w14:paraId="03A451C3" w14:textId="77777777" w:rsidR="0025671A" w:rsidRDefault="00D7413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По-друге, ігрова діяльність сприяє розвитку важливих соціальних навичок, таких як співпраця, комунікація, лідерство та вміння працювати в команді. Це особливо важливо для дітей молодшого шкільного віку, які тільки починають формувати свої соціальні зв’язки та навички взаємодії з однолітками. По-третє, інноваційні технології дозволяють створювати індивідуалізовані програми фізичного виховання, які враховують особливості кожної дитини, її фізичний стан та рівень підготовки. Це сприяє більш ефективному розвитку фізичних якостей та запобіганню травмам. Крім того, використання таких технологій може допомогти вчителям та тренерам більш точно оцінювати прогрес дітей та коригувати програми відповідно до їхніх потреб. По-четверте, ігрова діяльність за допомогою інноваційних технологій може сприяти розвитку когнітивних навичок, таких як стратегічне мислення, планування та прийняття рішень. Це відбувається через необхідність аналізувати ситуації, приймати швидкі рішення та адаптуватися до змінних умов гри [35].</w:t>
      </w:r>
    </w:p>
    <w:p w14:paraId="51E1499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Нарешті, дослідження в цій сфері є актуальними з точки зору підготовки майбутніх поколінь до життя в сучасному світі, де технології відіграють все більшу роль. Вміння використовувати технології для підтримки здорового способу життя та розвитку фізичних якостей стане важливою навичкою для дітей у майбутньому [36].</w:t>
      </w:r>
    </w:p>
    <w:p w14:paraId="4AD0A541" w14:textId="77777777" w:rsidR="0025671A" w:rsidRDefault="00D74137">
      <w:pPr>
        <w:tabs>
          <w:tab w:val="left" w:pos="1134"/>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Зв’язок роботи з науковими програмами, планами, темами, грантами.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14:paraId="41609D6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Метою роботи</w:t>
      </w:r>
      <w:r>
        <w:rPr>
          <w:rFonts w:ascii="Times New Roman" w:eastAsia="Times New Roman" w:hAnsi="Times New Roman" w:cs="Times New Roman"/>
          <w:sz w:val="28"/>
          <w:szCs w:val="28"/>
        </w:rPr>
        <w:t xml:space="preserve"> є на основі аналізу навчальних та наукових джерел дослідити організацію ігрової діяльності дітей молодшого шкільного віку засобами інноваційних технологій фізичного виховання.</w:t>
      </w:r>
    </w:p>
    <w:p w14:paraId="3284779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роботи</w:t>
      </w:r>
      <w:r>
        <w:rPr>
          <w:rFonts w:ascii="Times New Roman" w:eastAsia="Times New Roman" w:hAnsi="Times New Roman" w:cs="Times New Roman"/>
          <w:sz w:val="28"/>
          <w:szCs w:val="28"/>
        </w:rPr>
        <w:t xml:space="preserve">: </w:t>
      </w:r>
    </w:p>
    <w:p w14:paraId="1EED255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Визначити поняття та дати характеристику засобам інноваційних технологій фізичного виховання.</w:t>
      </w:r>
    </w:p>
    <w:p w14:paraId="0ABE3EA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mallCaps/>
          <w:sz w:val="28"/>
          <w:szCs w:val="28"/>
        </w:rPr>
        <w:t xml:space="preserve">- </w:t>
      </w:r>
      <w:r>
        <w:rPr>
          <w:rFonts w:ascii="Times New Roman" w:eastAsia="Times New Roman" w:hAnsi="Times New Roman" w:cs="Times New Roman"/>
          <w:sz w:val="28"/>
          <w:szCs w:val="28"/>
        </w:rPr>
        <w:t>Охарактеризувати</w:t>
      </w:r>
      <w:r>
        <w:rPr>
          <w:rFonts w:ascii="Times New Roman" w:eastAsia="Times New Roman" w:hAnsi="Times New Roman" w:cs="Times New Roman"/>
          <w:smallCaps/>
          <w:sz w:val="28"/>
          <w:szCs w:val="28"/>
        </w:rPr>
        <w:t xml:space="preserve"> </w:t>
      </w:r>
      <w:r>
        <w:rPr>
          <w:rFonts w:ascii="Times New Roman" w:eastAsia="Times New Roman" w:hAnsi="Times New Roman" w:cs="Times New Roman"/>
          <w:sz w:val="28"/>
          <w:szCs w:val="28"/>
        </w:rPr>
        <w:t>організацію дослідження ігрової діяльності дітей молодшого шкільного віку засобами інноваційних технологій фізичного виховання.</w:t>
      </w:r>
    </w:p>
    <w:p w14:paraId="3F75F0B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Здійснити інтерпретацію результатів дослідження організації ігрової  діяльності дітей молодшого шкільного віку засобами інноваційних технологій фізичного виховання.</w:t>
      </w:r>
    </w:p>
    <w:p w14:paraId="2AA0A63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роботи</w:t>
      </w:r>
      <w:r>
        <w:rPr>
          <w:rFonts w:ascii="Times New Roman" w:eastAsia="Times New Roman" w:hAnsi="Times New Roman" w:cs="Times New Roman"/>
          <w:sz w:val="28"/>
          <w:szCs w:val="28"/>
        </w:rPr>
        <w:t xml:space="preserve"> – інноваційні технології фізичного виховання.</w:t>
      </w:r>
    </w:p>
    <w:p w14:paraId="7014C6D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роботи</w:t>
      </w:r>
      <w:r>
        <w:rPr>
          <w:rFonts w:ascii="Times New Roman" w:eastAsia="Times New Roman" w:hAnsi="Times New Roman" w:cs="Times New Roman"/>
          <w:sz w:val="28"/>
          <w:szCs w:val="28"/>
        </w:rPr>
        <w:t xml:space="preserve"> – організація ігрової діяльності дітей молодшого шкільного віку засобами інноваційних технологій фізичного виховання.</w:t>
      </w:r>
    </w:p>
    <w:p w14:paraId="681C4D63" w14:textId="77777777" w:rsidR="0025671A" w:rsidRDefault="00D74137">
      <w:pPr>
        <w:pBdr>
          <w:top w:val="nil"/>
          <w:left w:val="nil"/>
          <w:bottom w:val="nil"/>
          <w:right w:val="nil"/>
          <w:between w:val="nil"/>
        </w:pBdr>
        <w:tabs>
          <w:tab w:val="left" w:pos="851"/>
          <w:tab w:val="left" w:pos="1134"/>
        </w:tabs>
        <w:spacing w:after="0" w:line="360" w:lineRule="auto"/>
        <w:ind w:firstLine="624"/>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Методи дослідження</w:t>
      </w:r>
      <w:r>
        <w:rPr>
          <w:rFonts w:ascii="Times New Roman" w:eastAsia="Times New Roman" w:hAnsi="Times New Roman" w:cs="Times New Roman"/>
          <w:color w:val="000000"/>
          <w:sz w:val="28"/>
          <w:szCs w:val="28"/>
        </w:rPr>
        <w:t>. Для вирішення поставлених завдань застосовувалися такі методи дослідження: теоретичний аналіз і узагальнення, антропометричні методи, педагогічні методи, фізіологічні (</w:t>
      </w:r>
      <w:proofErr w:type="spellStart"/>
      <w:r>
        <w:rPr>
          <w:rFonts w:ascii="Times New Roman" w:eastAsia="Times New Roman" w:hAnsi="Times New Roman" w:cs="Times New Roman"/>
          <w:color w:val="000000"/>
          <w:sz w:val="28"/>
          <w:szCs w:val="28"/>
        </w:rPr>
        <w:t>тонометрія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пульсометрія</w:t>
      </w:r>
      <w:proofErr w:type="spellEnd"/>
      <w:r>
        <w:rPr>
          <w:rFonts w:ascii="Times New Roman" w:eastAsia="Times New Roman" w:hAnsi="Times New Roman" w:cs="Times New Roman"/>
          <w:color w:val="000000"/>
          <w:sz w:val="28"/>
          <w:szCs w:val="28"/>
        </w:rPr>
        <w:t>, спірометрія) та статистичні методи обробки отриманих даних.</w:t>
      </w:r>
    </w:p>
    <w:p w14:paraId="20D1CCC6" w14:textId="77777777" w:rsidR="0025671A" w:rsidRDefault="00D7413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Наукова новизна</w:t>
      </w:r>
      <w:r>
        <w:rPr>
          <w:rFonts w:ascii="Times New Roman" w:eastAsia="Times New Roman" w:hAnsi="Times New Roman" w:cs="Times New Roman"/>
          <w:sz w:val="28"/>
          <w:szCs w:val="28"/>
        </w:rPr>
        <w:t xml:space="preserve"> організації ігрової діяльності дітей молодшого шкільного віку засобами інноваційних технологій фізичного виховання полягає в інтеграції сучасних технологій у традиційні методи фізичного виховання, що дозволяє створити більш ефективні та цікаві програми для дітей. Це </w:t>
      </w:r>
      <w:r>
        <w:rPr>
          <w:rFonts w:ascii="Times New Roman" w:eastAsia="Times New Roman" w:hAnsi="Times New Roman" w:cs="Times New Roman"/>
          <w:sz w:val="28"/>
          <w:szCs w:val="28"/>
        </w:rPr>
        <w:lastRenderedPageBreak/>
        <w:t xml:space="preserve">дослідження впроваджує нові підходи до використання цифрових інструментів, таких як інтерактивні ігри, віртуальна реальність та мобільні додатки, які можуть значно підвищити мотивацію дітей до фізичної активності. Крім того, новизна полягає у розробці індивідуалізованих програм, які враховують фізичні можливості та потреби кожної дитини, що сприяє більш ефективному розвитку фізичних якостей. Дослідження також акцентує увагу на розвитку соціальних навичок через ігрову та змагальну діяльність, що є важливим аспектом у формуванні особистості дитини. </w:t>
      </w:r>
    </w:p>
    <w:p w14:paraId="2BA97A6F" w14:textId="77777777" w:rsidR="0025671A" w:rsidRDefault="00D74137">
      <w:pPr>
        <w:tabs>
          <w:tab w:val="righ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Практичне значення одержаних результатів </w:t>
      </w:r>
      <w:r>
        <w:rPr>
          <w:rFonts w:ascii="Times New Roman" w:eastAsia="Times New Roman" w:hAnsi="Times New Roman" w:cs="Times New Roman"/>
          <w:sz w:val="28"/>
          <w:szCs w:val="28"/>
        </w:rPr>
        <w:t>полягає в тому, що</w:t>
      </w:r>
      <w:r>
        <w:rPr>
          <w:rFonts w:ascii="Times New Roman" w:eastAsia="Times New Roman" w:hAnsi="Times New Roman" w:cs="Times New Roman"/>
          <w:b/>
          <w:sz w:val="28"/>
          <w:szCs w:val="28"/>
        </w:rPr>
        <w:t xml:space="preserve">  </w:t>
      </w:r>
      <w:r>
        <w:rPr>
          <w:rFonts w:ascii="Times New Roman" w:eastAsia="Times New Roman" w:hAnsi="Times New Roman" w:cs="Times New Roman"/>
          <w:color w:val="333333"/>
          <w:sz w:val="28"/>
          <w:szCs w:val="28"/>
          <w:highlight w:val="white"/>
        </w:rPr>
        <w:t>робота може бути корисна для вчителів фізичної культури і спорту які планують впроваджувати інноваційні технології в процес фізичного виховання в школі.</w:t>
      </w:r>
      <w:r>
        <w:rPr>
          <w:rFonts w:ascii="Times New Roman" w:eastAsia="Times New Roman" w:hAnsi="Times New Roman" w:cs="Times New Roman"/>
          <w:sz w:val="28"/>
          <w:szCs w:val="28"/>
        </w:rPr>
        <w:t xml:space="preserve"> Використання інноваційних технологій у фізичному вихованні дозволяє зробити заняття більш цікавими та ефективними, що підвищує мотивацію дітей до фізичної активності. </w:t>
      </w:r>
    </w:p>
    <w:p w14:paraId="1FCAB823" w14:textId="77777777" w:rsidR="0025671A" w:rsidRDefault="00D74137">
      <w:pPr>
        <w:spacing w:after="20" w:line="360" w:lineRule="auto"/>
        <w:ind w:firstLine="709"/>
        <w:jc w:val="both"/>
        <w:rPr>
          <w:rFonts w:ascii="Times New Roman" w:eastAsia="Times New Roman" w:hAnsi="Times New Roman" w:cs="Times New Roman"/>
          <w:sz w:val="28"/>
          <w:szCs w:val="28"/>
        </w:rPr>
      </w:pPr>
      <w:bookmarkStart w:id="1" w:name="_GoBack"/>
      <w:r>
        <w:rPr>
          <w:rFonts w:ascii="Times New Roman" w:eastAsia="Times New Roman" w:hAnsi="Times New Roman" w:cs="Times New Roman"/>
          <w:b/>
          <w:sz w:val="28"/>
          <w:szCs w:val="28"/>
        </w:rPr>
        <w:t xml:space="preserve">Апробація. </w:t>
      </w:r>
      <w:r>
        <w:rPr>
          <w:rFonts w:ascii="Times New Roman" w:eastAsia="Times New Roman" w:hAnsi="Times New Roman" w:cs="Times New Roman"/>
          <w:sz w:val="28"/>
          <w:szCs w:val="28"/>
        </w:rPr>
        <w:t>За темою кваліфікаційної роботи опубліковано тези, які видано у збірнику матеріалів  Всеукраїнської науково-практичної конференції та тематичного семінару «Фізична культура і спорт, туризм і рекреація-здоров’я нації» (м. Івано-Франківськ, 17-18 травня 2024 року).</w:t>
      </w:r>
    </w:p>
    <w:bookmarkEnd w:id="1"/>
    <w:p w14:paraId="3F06D8F4" w14:textId="77777777" w:rsidR="0025671A" w:rsidRDefault="00D7413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rPr>
        <w:t>Структура роботи.</w:t>
      </w:r>
      <w:r>
        <w:rPr>
          <w:rFonts w:ascii="Times New Roman" w:eastAsia="Times New Roman" w:hAnsi="Times New Roman" w:cs="Times New Roman"/>
          <w:color w:val="000000"/>
          <w:sz w:val="28"/>
          <w:szCs w:val="28"/>
        </w:rPr>
        <w:t xml:space="preserve"> Робота складається зі вступу, трьох розділів, висновків, списку використаних джерел (53 найменування). </w:t>
      </w:r>
      <w:r>
        <w:rPr>
          <w:rFonts w:ascii="Times New Roman" w:eastAsia="Times New Roman" w:hAnsi="Times New Roman" w:cs="Times New Roman"/>
          <w:color w:val="000000"/>
          <w:sz w:val="28"/>
          <w:szCs w:val="28"/>
          <w:highlight w:val="white"/>
        </w:rPr>
        <w:t>У роботі використано 2 таблиці, 5 рисунків. Загальний обсяг роботи 68 сторінок.</w:t>
      </w:r>
    </w:p>
    <w:p w14:paraId="04BDD200" w14:textId="77777777" w:rsidR="0025671A" w:rsidRDefault="0025671A">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highlight w:val="white"/>
        </w:rPr>
      </w:pPr>
    </w:p>
    <w:p w14:paraId="012DF6D0" w14:textId="77777777" w:rsidR="0025671A" w:rsidRDefault="00D7413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highlight w:val="white"/>
        </w:rPr>
        <w:t xml:space="preserve"> </w:t>
      </w:r>
    </w:p>
    <w:p w14:paraId="5B622E80" w14:textId="77777777" w:rsidR="0025671A" w:rsidRDefault="0025671A">
      <w:pPr>
        <w:spacing w:after="0" w:line="360" w:lineRule="auto"/>
        <w:ind w:firstLine="709"/>
        <w:jc w:val="both"/>
        <w:rPr>
          <w:rFonts w:ascii="Times New Roman" w:eastAsia="Times New Roman" w:hAnsi="Times New Roman" w:cs="Times New Roman"/>
          <w:sz w:val="28"/>
          <w:szCs w:val="28"/>
        </w:rPr>
      </w:pPr>
    </w:p>
    <w:p w14:paraId="609ED365" w14:textId="77777777" w:rsidR="0025671A" w:rsidRDefault="0025671A">
      <w:pPr>
        <w:spacing w:after="0" w:line="360" w:lineRule="auto"/>
        <w:ind w:firstLine="709"/>
        <w:jc w:val="both"/>
        <w:rPr>
          <w:rFonts w:ascii="Times New Roman" w:eastAsia="Times New Roman" w:hAnsi="Times New Roman" w:cs="Times New Roman"/>
          <w:sz w:val="28"/>
          <w:szCs w:val="28"/>
        </w:rPr>
      </w:pPr>
    </w:p>
    <w:p w14:paraId="4820A867" w14:textId="77777777" w:rsidR="0025671A" w:rsidRDefault="00D74137">
      <w:pPr>
        <w:pStyle w:val="1"/>
        <w:spacing w:before="0" w:line="360" w:lineRule="auto"/>
        <w:jc w:val="center"/>
        <w:rPr>
          <w:rFonts w:ascii="Times New Roman" w:eastAsia="Times New Roman" w:hAnsi="Times New Roman" w:cs="Times New Roman"/>
          <w:b/>
          <w:smallCaps/>
          <w:color w:val="000000"/>
          <w:sz w:val="28"/>
          <w:szCs w:val="28"/>
        </w:rPr>
      </w:pPr>
      <w:bookmarkStart w:id="2" w:name="_30j0zll" w:colFirst="0" w:colLast="0"/>
      <w:bookmarkEnd w:id="2"/>
      <w:r>
        <w:rPr>
          <w:rFonts w:ascii="Times New Roman" w:eastAsia="Times New Roman" w:hAnsi="Times New Roman" w:cs="Times New Roman"/>
          <w:b/>
          <w:smallCaps/>
          <w:color w:val="000000"/>
          <w:sz w:val="28"/>
          <w:szCs w:val="28"/>
        </w:rPr>
        <w:lastRenderedPageBreak/>
        <w:t xml:space="preserve">РОЗДІЛ 1 </w:t>
      </w:r>
    </w:p>
    <w:p w14:paraId="27E941AC" w14:textId="77777777" w:rsidR="0025671A" w:rsidRDefault="00D74137">
      <w:pPr>
        <w:pStyle w:val="1"/>
        <w:spacing w:before="0" w:line="360" w:lineRule="auto"/>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t>ТЕОРЕТИКО-МЕТОДОЛОГІЧНІ ЗАСАДИ ІГРОВОЇ ДІЯЛЬНОСТІ ДІТЕЙ МОЛОДШОГО ШКІЛЬНОГО ВІКУ ЗАСОБАМИ ІННОВАЦІЙНИХ ТЕХНОЛОГІЙ ФІЗИЧНОГО ВИХОВАННЯ</w:t>
      </w:r>
    </w:p>
    <w:p w14:paraId="3A893D8D"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3" w:name="_1fob9te" w:colFirst="0" w:colLast="0"/>
      <w:bookmarkEnd w:id="3"/>
      <w:r>
        <w:rPr>
          <w:rFonts w:ascii="Times New Roman" w:eastAsia="Times New Roman" w:hAnsi="Times New Roman" w:cs="Times New Roman"/>
          <w:b/>
          <w:color w:val="000000"/>
          <w:sz w:val="28"/>
          <w:szCs w:val="28"/>
        </w:rPr>
        <w:t>1.1. Особливості психофізичного розвитку дітей молодшого шкільного віку</w:t>
      </w:r>
    </w:p>
    <w:p w14:paraId="3E0B0A7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молодших школярів дуже забарвлений специфічними суб’єктивними переживаннями настільки, що діти відчувають, уявляють, мислять емоціями. Це являє собою один з найбільш феноменів їх внутрішнього світу. Можна навіть сказати, що завдяки безпосередньому життєвому досвіду ці явища як легко виявляються, а й досить тонко розуміються.</w:t>
      </w:r>
    </w:p>
    <w:p w14:paraId="489C37B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молодших школярів дуже забарвлений специфічними суб’єктивними переживання настільки, що діти відчувають, уявляють, мислять емоціями. Це являє собою один з найбільш феноменів їх внутрішнього світу. Можна навіть сказати, що завдяки безпосередньому життєвому досвіду ці явища як легко виявляються, а й досить тонко розуміються. Виникнення емоцій у молодших школярів пов’язане з конкретною обстановкою, у яку потрапляють діти. Безпосередні спостереження тих чи інших подій чи яскраві життєві уявлення та переживання – все викликає бурхливий емоційний сплеск у дітей даного віку. Тому всякого роду словесні вчення, не пов’язані з певними прикладами і життєвим досвідом дітей, не викликають у них потрібних емоційних переживань [11].</w:t>
      </w:r>
    </w:p>
    <w:p w14:paraId="2C1236D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багатьма вченими дані вказують на те, що з високим рівнем образного мислення діти успішно навчаються у майбутньому, а розумовий розвиток дитини в умовах шкільного навчання тільки прогресує. І, навпаки, дітям з низьким рівнем наочно-образного мислення характерний формалізм у засвоєнні знань і способів дії, спостерігаються труднощі у формуванні логічного мислення.</w:t>
      </w:r>
    </w:p>
    <w:p w14:paraId="51CE4A91"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Діти, у яких простежувався особливо низький рівень розвитку різних або усіх елементів логічного мислення мають у подальшому низькі показники </w:t>
      </w:r>
      <w:r>
        <w:rPr>
          <w:rFonts w:ascii="Times New Roman" w:eastAsia="Times New Roman" w:hAnsi="Times New Roman" w:cs="Times New Roman"/>
          <w:sz w:val="28"/>
          <w:szCs w:val="28"/>
        </w:rPr>
        <w:lastRenderedPageBreak/>
        <w:t>успішності у навчанні. При цьому, істотних відмінностей між дітьми із середнім та високим рівнями вказаного розвитку не було виявлено – обидві групи добре «включалися» до освоєння шкільної програми. Аналіз особливостей конкретного завдання, а також конкретних рис певної ситуації є ускладненим і гранична узагальненість логічного мислення може обернутися слабкістю, при цьому породжуючи заміну аналізу специфічних закономірностей пошуком загальних. У практиці початкової школи це проявляється у тому, що дитині складно вирішити просте математичне завдання [14].</w:t>
      </w:r>
    </w:p>
    <w:p w14:paraId="720F779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Учені відзначають високу сенситивність дітей молодшого шкільного віку, пластичність психічних процесів, а також підвищену емоційність. У цьому віковому періоді спостерігається яскраве емоційно-моральне ставлення дитини до життєвих явищ, відбувається зародження етичних знань і формування на цій основі самооцінки дитини. Ще на початковій стадії молодшого шкільного віку відбувається поділ системи соціальних стосунків на три відносно самостійні сегменти: «дитина – вчитель», «дитина – батьки», «дитина – ровесники». У свою чергу, система «дитина-дорослий» диференціюється на дві підсистеми: «дитина – вчитель», «дитина – батьки». Система «дитина – вчитель» визначає стосунки дитини та батьків і ставлення дитини до ровесників. Ця система стає ядром життя дитини, від неї залежить засвоєння моральних знань і самооцінки. Соціальне оточення дитини швидко розширюється і диференціюються, що вимагає від молодшого школяра значних зусиль для досягнення успішної соціальної взаємодії. Саме в цьому віковому періоді відбувається опанування особистістю соціальним і моральним досвідом шляхом регуляції своєї поведінки відповідно до моральних норм і цінностей. Молодший школяр регулярно опиняється перед необхідністю морального вибору моральної взаємодії з оточуючими та адекватної самооцінки. Тому дитина діє відповідно до моральних норм не тому, що боїться зовнішніх санкцій, а тому що не може вчинити інакше [27].</w:t>
      </w:r>
    </w:p>
    <w:p w14:paraId="566AB5D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Безумовно розвиток самооцінки залежить від відповідного рівня розвитку розумових дій. Молодший шкільний вік пов’язаний з появою конкретних операцій у розвитку інтелекту. Зберігаючи конкретність, незворотність, егоцентризм, повною мірою розвивається образне мислення. Цьому сприяє оволодіння дитиною цілісною пізнавальною системою, за допомогою якої вона організовує навколишній світ і діє в ньому, оскільки стає можливим усвідомлення часових і функціональних послідовностей дій. Зазначені зміни можна розглядати на даному етапі як визначальні чинники рефлексивного розвитку, основним змістом якого є поява здатності у дитини виділяти особливості власних дій і робити їх предметом аналізу. Якщо дошкільник в абсолютній більшості випадків орієнтується на свій індивідуальний досвід, то молодший школяр починає орієнтуватися на загальнокультурні зразки дій, моральні знання і норми, які він опановує в діалозі з дорослим. У зв’язку з цим наприкінці дошкільного віку в розвитку самооцінки відбувається перехід від уявлення про себе, до думки про себе. Розвиток самооцінки дітей молодшого шкільного віку характеризується передусім переходом дітей від уявлень до думок про себе, який починається вже в старшому дошкільному віці. Вирішальну роль за цих умов відіграє вивчення рідної мови, особливо її граматики: відриваючи увагу дітей від зовнішньої природи, граматика спрямовує дитину на її власні душевні стани і душевні процеси. Цей процес проходить через весь шкільний вік і завершується в дорослому житті як високорозвинена свідомість. Зміни, що відбуваються в молодшому шкільному віці, дають змогу розглядати цей період як особливо важливий етап у становленні самооцінки індивіда.</w:t>
      </w:r>
    </w:p>
    <w:p w14:paraId="56CDD8F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молодшому шкільному віці відбувається переосмислення власного Я, зростає бажання утвердити його в очах дорослих та однолітків, зростає реалістичність самоцінності. Досягнення у навчальній діяльності породжують нові аспекти самооцінки особистості, що пов’язано з усвідомленням особливої важливості навчальної діяльності. У молодшому шкільному віці значущим є формування довільності дій, оскільки в дітей формуються вміння вчитися. У </w:t>
      </w:r>
      <w:r>
        <w:rPr>
          <w:rFonts w:ascii="Times New Roman" w:eastAsia="Times New Roman" w:hAnsi="Times New Roman" w:cs="Times New Roman"/>
          <w:sz w:val="28"/>
          <w:szCs w:val="28"/>
        </w:rPr>
        <w:lastRenderedPageBreak/>
        <w:t xml:space="preserve">молодшому шкільному віці центром психічного розвитку дитини є формування довільності та усвідомленості всіх психічних процесів та їх інтелектуалізація, яка відбувається завдяки первинному засвоєнню системи понять. Протягом усього молодшого шкільного віку дитина вчиться керувати своєю поведінкою, психічними процесами [32]. </w:t>
      </w:r>
    </w:p>
    <w:p w14:paraId="320A0F0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які висуваються до дітей у школі, передбачають досить високий рівень розвитку довільності. Тому в молодшого школяра виникають такі мотиви моральної самооцінки: 1) внутрішні: моральна спрямованість, моральна спрямованість, моральна самоцінність особистості; 2) зовнішні: стимулювання батьків, педагогів, культура морального оцінювання та самооцінки в класі в умовах сім’ї.</w:t>
      </w:r>
    </w:p>
    <w:p w14:paraId="46EEF3A1"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молодшому шкільному віці діти вперше починають формувати своє уявлення про світ дорослих. Позиція «Я» людини стосовно суспільства є результатом її соціального розвитку і відображає ступінь оволодіння соціальним досвідом, усвідомлення себе в суспільстві, бачення себе в інших людях та готовність до відповідних дій у навколишньому світі. Виокремлюються два типи соціальних позицій: «Я в суспільстві» і «Я і суспільство». Перша позиція акцентує увагу на собі, відображаючи прагнення дитини зрозуміти свій власний образ; друга позиція стосується усвідомлення себе як частини суспільних відносин. Кожна з цих позицій пов’язана з певними етапами розвитку дитинства, оскільки визначення умов і механізмів формування позиції «Я» в суспільстві є ключовим моментом для розкриття психологічних основ виховання особистості. Залежно від характеру і змісту діяльності, активно розкривається ставлення дитини до предметних дій, до інших людей і до самої себе [30].</w:t>
      </w:r>
    </w:p>
    <w:p w14:paraId="580545E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Логічне мислення молодших школярів має свої особливості, які пов’язані з їхнім віковим розвитком. У цей період діти переходять від наочно-образного до словесно-логічного мислення, що означає, що вони починають використовувати логічні принципи для розуміння та вирішення проблем, але все ще сильно залежать від конкретних образів і реальних ситуацій. Їхнє </w:t>
      </w:r>
      <w:r>
        <w:rPr>
          <w:rFonts w:ascii="Times New Roman" w:eastAsia="Times New Roman" w:hAnsi="Times New Roman" w:cs="Times New Roman"/>
          <w:sz w:val="28"/>
          <w:szCs w:val="28"/>
        </w:rPr>
        <w:lastRenderedPageBreak/>
        <w:t>мислення часто характеризується егоцентризмом, тобто вони схильні бачити світ лише зі своєї точки зору і їм важко враховувати інші перспективи. Вони ще не здатні до абстрактних міркувань і формально-логічних висновків, але вже починають розуміти основні логічні конструкції та поняття. Наприклад, вони можуть аналізувати прості ситуації, робити висновки на основі конкретних фактів і застосовувати базові логічні операції, такі як порівняння та узагальнення. Важливо також зазначити, що розвиток логічного мислення у молодших школярів значною мірою залежить від навчального процесу та методів, які використовуються вчителями для стимулювання їхньої пізнавальної діяльності [36].</w:t>
      </w:r>
    </w:p>
    <w:p w14:paraId="5D575D4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Виникнення емоцій у молодших школярів пов’язане з конкретною обстановкою, у яку потрапляють діти. Безпосередні спостереження тих чи інших подій чи яскраві життєві уявлення та переживання – все викликає бурхливий емоційний сплеск у дітей даного віку. Тому всякого роду словесні вчення, не пов’язані з певними прикладами і життєвим досвідом дітей, не викликають у них потрібних емоційних переживань.</w:t>
      </w:r>
    </w:p>
    <w:p w14:paraId="7BA3172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емоційної сфери є найважливішим аспектом розвитку особистості загалом. У молодшому шкільному віці завдяки їй складається та проявляється до 70% особистісних якостей, тому неувага до розвитку особистості у цьому віці породжує педагогічні прорахунки, які яскраво виявляються на наступних щаблях навчання.</w:t>
      </w:r>
    </w:p>
    <w:p w14:paraId="3ABC3E9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Емоційна сфера є важливою складовою у розвитку молодших школярів, оскільки жодне спілкування, взаємодія не буде ефективним, якщо його учасники не здатні, по-перше, «читати» емоційний стан іншого, а по-друге, керувати своїми емоціями. Розуміння своїх емоцій та почуттів також є важливим моментом у становленні особи зростаючої людини.</w:t>
      </w:r>
    </w:p>
    <w:p w14:paraId="62BAC1D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Молодші школярі ще можуть стримувати прояв своїх почуттів. Таке безпосереднє виявлення своїх почуттів пояснюється недостатнім розвитком у дітей цього віку гальмівних процесів у корі головного мозку. Кора великих півкуль мозку ще недостатньо регулює діяльність підкірки, з якою пов’язані </w:t>
      </w:r>
      <w:r>
        <w:rPr>
          <w:rFonts w:ascii="Times New Roman" w:eastAsia="Times New Roman" w:hAnsi="Times New Roman" w:cs="Times New Roman"/>
          <w:sz w:val="28"/>
          <w:szCs w:val="28"/>
        </w:rPr>
        <w:lastRenderedPageBreak/>
        <w:t>найпростіші почуття та їх зовнішні прояви – сміх, сльози тощо. Цим також пояснюється і виникнення у дітей афективних станів, тобто їх схильність до короткочасних бурхливих спалахів радості, смутку. Щоправда, такі емоційні статки у молодших школярів не є стійкими і часто переходять у протилежні. Діти так само легко заспокоюються, як і збуджуються.</w:t>
      </w:r>
    </w:p>
    <w:p w14:paraId="31ABF0E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Характерною особливістю молодшого шкільного віку є емоційна вразливість, чуйність дитини до всього яскравого, незвичайного, барвистого. В цей період зростає рухливість нервових процесів, процеси збудження переважають, і це визначає такі характерні риси молодших школярів, як підвищену емоційну збудливість та непосидючість. Емоційний розвиток дитини відбувається поступово у спілкуванні з оточуючими людьми та у процесі різних видів діяльності – ігри, вчення, праця. Розширення емоційного досвіду дитини, його глибина і модальність значною мірою визначають спрямованість особи, що розвивається. Емоційне життя молодшого школяра формують взаємини з вчителем, процес навчання, відносини в сім’ї з батьками, колектив класу – стосунки з однокласниками та становище у колективі [10].</w:t>
      </w:r>
    </w:p>
    <w:p w14:paraId="2C46DCC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емоційна сфера є важливою складовою у розвитку молодших школярів, оскільки жодне спілкування, взаємодія не буд ефективною, якщо його учасники не здатні, по-перше, «читати» емоційний стан іншого, а по-друге, керувати своїми емоціями. Діти молодшого шкільного віку загалом здатні правильно сприймати емоційний стан людини. При цьому діти досить легко відрізняють радість захоплення, веселощі і вагаються в розпізнаванні смутку. Діти насамперед звертають увагу на вираз обличчя, не надаючи значення пантоміміку (позі, жестам). Але молодші школярі все ще залишаються безпосередніми та імпульсивними. Емоції, які вони відчувають, легко прочитуються на обличчі, у позі, жесті, у всій поведінці. Для практичного психолога поведінка дитини, вираження почуттів – важливий показник у розумінні внутрішнього світу маленької людини, що свідчить про її психічний стан, благополуччя, можливі перспективи розвитку. </w:t>
      </w:r>
    </w:p>
    <w:p w14:paraId="358FF9C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Роль емоцій у житті дитини велика, і не можна її недооцінювати. К. Д. Ушинський зазначав, що суспільство, яке дбає про утворення розуму, робить великий промах, бо людина більше людина в тому, як вона відчуває, ніж вона думає. Але енергію емоцій необхідно спрямувати на благо людини, на отримання задоволення та задоволеності від життя.</w:t>
      </w:r>
    </w:p>
    <w:p w14:paraId="6F6F534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 Л. Рубінштейн зазначає, що якщо прагнення придушити чи викорінювати емоції докорінно невірно, то вміння регулювати їх прояв необхідно. Але в реальному житті, незважаючи на розуміння впливу емоцій на здоров’я і благополуччя людини, шкідливості придушення емоцій, ми все ж таки змушені ховати деякі з них (причому, як позитивні, так і негативні). Ми досить часто говоримо про емоції, необхідність справлятися з ними, якщо вони «проявляються» у невідповідний момент. Однак найчастіше в цьому випадку мають на увазі негативні емоції (гнів, страх, роздратування, обурення, образа та ін.), які можуть перешкодити нам дійти згоди з партнером, спровокувати конфлікт, маючи на увазі лють, роздратування, агресію. Але існують і позитивні емоції, очікувані та прийняті нами: радість, захоплення та ін. [22].</w:t>
      </w:r>
      <w:r>
        <w:t xml:space="preserve"> </w:t>
      </w:r>
    </w:p>
    <w:p w14:paraId="1CDB169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Найчастіше діти змушені (або думають, що змушені) пригнічувати і позитивні емоції, які, на їхню думку, виявляються недоречними, непорозуміннями оточуючими. Залежно від соціокультурних умов, оточення люди очікують певної поведінки, певних емоційних реакцій (або їх відсутності) на ті чи інші події, і прагнуть відповідати цим очікуванням, демонструвати емоційні стани, відповідальні за прийняті ролі. У тому випадку, якщо справжній стан протилежний або хоча б частково не збігається з тим, що демонструється, у дитини можливе формування внутрішнього конфлікту, який, у свою чергу, може спровокувати порушення особистісного розвитку, сприяти проявам тривожності, агресивності та інших особливостей поведінки.</w:t>
      </w:r>
    </w:p>
    <w:p w14:paraId="1BFEC7D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Придушення своїх емоцій – шлях до депресії, одна з можливих причин порушення психологічного здоров’я особистості, появи соматичних проблем Багато вчених вважають, що деякі види патопсихології та порушення адаптації може бути викликані захворюваннями емоційної сфери. Було також </w:t>
      </w:r>
      <w:r>
        <w:rPr>
          <w:rFonts w:ascii="Times New Roman" w:eastAsia="Times New Roman" w:hAnsi="Times New Roman" w:cs="Times New Roman"/>
          <w:sz w:val="28"/>
          <w:szCs w:val="28"/>
        </w:rPr>
        <w:lastRenderedPageBreak/>
        <w:t>встановлено, що бронхіальна астма, нейродерміт, виразковий коліт та ін. хвороби у дітей молодшого шкільного віку виникають як результат психофізіологічних проявів, характерних для постійного емоційного напруження. Пригнічений гнів може викликати зміни у серцево-судинній системі. Порушення функції шлунково-кишкового тракту можуть стати наслідком незадоволених потреб бути в залежності та отримувати допомогу. Коли особистість позбавляється можливості відкрито брати участь у боротьбі та виявляти агресивність, симпатична система виявляється надовго в стані підвищеного збудження, унаслідок чого виникають вегетативні симптоми [49].</w:t>
      </w:r>
    </w:p>
    <w:p w14:paraId="18448DC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І. Н. Андрєєвої, у дітей з емоційними розладами виявляється більш високий рівень </w:t>
      </w:r>
      <w:proofErr w:type="spellStart"/>
      <w:r>
        <w:rPr>
          <w:rFonts w:ascii="Times New Roman" w:eastAsia="Times New Roman" w:hAnsi="Times New Roman" w:cs="Times New Roman"/>
          <w:sz w:val="28"/>
          <w:szCs w:val="28"/>
        </w:rPr>
        <w:t>олекситимії</w:t>
      </w:r>
      <w:proofErr w:type="spellEnd"/>
      <w:r>
        <w:rPr>
          <w:rFonts w:ascii="Times New Roman" w:eastAsia="Times New Roman" w:hAnsi="Times New Roman" w:cs="Times New Roman"/>
          <w:sz w:val="28"/>
          <w:szCs w:val="28"/>
        </w:rPr>
        <w:t xml:space="preserve"> (заборони на вираження почуттів), ніж у емоційно благополучних дітей. Згідно з дослідженнями, заборона на прояви емоції гніву у дівчат значно вища, ніж у хлопчиків.</w:t>
      </w:r>
    </w:p>
    <w:p w14:paraId="18FF872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жаль, деякі ірраціональні судження призводять до заборони прояву «соціально не схвалюваних» емоцій вже в дитинстві, що може призвести до емоційної «глухості» людини, труднощів у спілкуванні та проблем зі здоров’ям. Так, заборона на вираження емоції здивування у ранньому дитинстві веде до регресії, людина стає безпорадною, особливо в нестандартній обстановці. Огида, сформована в дошкільному дитинстві, виражається в подальшому в проекції своїх проблем на оточуючих людей. Заборона на прояв гніву та вираження агресії тягне за собою заміщення об’єкта, що викликав гнів, на безпечний. Якщо ж дорослі забороняють висловлювати радість, це гальмує будь-які прояви чуттєвого задоволення, стає причиною виникнення таких негативних емоційних проявів, як страх, вина, заздрість та ін.</w:t>
      </w:r>
      <w:r>
        <w:t xml:space="preserve"> </w:t>
      </w:r>
      <w:r>
        <w:rPr>
          <w:rFonts w:ascii="Times New Roman" w:eastAsia="Times New Roman" w:hAnsi="Times New Roman" w:cs="Times New Roman"/>
          <w:sz w:val="28"/>
          <w:szCs w:val="28"/>
        </w:rPr>
        <w:t>[48].</w:t>
      </w:r>
    </w:p>
    <w:p w14:paraId="1DF17D3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Теза Л. С. Виготського про зв’язок між інтелектом та афектом є основним принципом регуляції психічних процесів. А. Н. Леонтьєв розглядає мислення як діяльність, що має афективне регулювання, безпосередньо виражає її упередженість. Відповідно до діяльнісного підходу та смислової теорії мислення, в основі діяльності лежить функціональна система інтегрованих та когнітивних процесів, і в людини завдяки цій системі емоції стають </w:t>
      </w:r>
      <w:r>
        <w:rPr>
          <w:rFonts w:ascii="Times New Roman" w:eastAsia="Times New Roman" w:hAnsi="Times New Roman" w:cs="Times New Roman"/>
          <w:sz w:val="28"/>
          <w:szCs w:val="28"/>
        </w:rPr>
        <w:lastRenderedPageBreak/>
        <w:t xml:space="preserve">«розумними», а інтелектуальні процеси набувають емоційно-образного характеру, стають смисловими. Будучи психічним відображенням сенсу явищ у формі безпосереднього упередженого переживання, емоції пронизують усі </w:t>
      </w:r>
      <w:proofErr w:type="spellStart"/>
      <w:r>
        <w:rPr>
          <w:rFonts w:ascii="Times New Roman" w:eastAsia="Times New Roman" w:hAnsi="Times New Roman" w:cs="Times New Roman"/>
          <w:sz w:val="28"/>
          <w:szCs w:val="28"/>
        </w:rPr>
        <w:t>внутрішньоособистісні</w:t>
      </w:r>
      <w:proofErr w:type="spellEnd"/>
      <w:r>
        <w:rPr>
          <w:rFonts w:ascii="Times New Roman" w:eastAsia="Times New Roman" w:hAnsi="Times New Roman" w:cs="Times New Roman"/>
          <w:sz w:val="28"/>
          <w:szCs w:val="28"/>
        </w:rPr>
        <w:t xml:space="preserve"> психологічні процеси. Як підкреслював С. Рубінштейн, мова йде не про те тільки, що емоція знаходиться в єдності та взаємозв’язку з інтелектом або мислення з емоцією, а про те, що саме мислення як реальний психічний процес уже сам є єдністю інтелектуального та емоційного, а емоція – єдністю емоційного та інтелектуального [8]. </w:t>
      </w:r>
    </w:p>
    <w:p w14:paraId="545CDBA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Нині більшість психологів, які займаються вивченням інтелектуальної діяльності, визнає роль емоцій у мисленні. Більш того, висловлюється думка, що емоції не просто впливають на мислення, але є обов’язковим його компонентом.</w:t>
      </w:r>
    </w:p>
    <w:p w14:paraId="0964670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Р. Лурія вважає, що сильні емоції здатні надати емоційного забарвлення практично всьому, що так чи інакше пов’язано з ситуацією їх виникнення. Емоції, у свою чергу, є найважливішим фактором регулювання процесів пізнання. Так, емоційна забарвленість є однією з умов, що визначають мимовільну увагу та запам’ятовування, цей же фактор здатний суттєво полегшити або ускладнити довільне регулювання цих процесів; добре відомо вплив емоцій на процеси уяви та фантазії; при невизначеному </w:t>
      </w:r>
      <w:proofErr w:type="spellStart"/>
      <w:r>
        <w:rPr>
          <w:rFonts w:ascii="Times New Roman" w:eastAsia="Times New Roman" w:hAnsi="Times New Roman" w:cs="Times New Roman"/>
          <w:sz w:val="28"/>
          <w:szCs w:val="28"/>
        </w:rPr>
        <w:t>стимульному</w:t>
      </w:r>
      <w:proofErr w:type="spellEnd"/>
      <w:r>
        <w:rPr>
          <w:rFonts w:ascii="Times New Roman" w:eastAsia="Times New Roman" w:hAnsi="Times New Roman" w:cs="Times New Roman"/>
          <w:sz w:val="28"/>
          <w:szCs w:val="28"/>
        </w:rPr>
        <w:t xml:space="preserve"> матеріалі чи вираженій інтенсивності емоції можуть спотворити навіть процеси сприйняття; від емоцій залежить ціла низка характеристик мови, накопичуються дані про тонкий регулюючий їх вплив на розумові процеси. Той факт, що різноманітні та дуже важливі прояви емоцій вивчаються, головним чином, в експериментальній психології доводить актуальність проблеми розвитку емоційної сфери в даний час [38].</w:t>
      </w:r>
    </w:p>
    <w:p w14:paraId="6BD014B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емоційного інтелекту у дитини молодшого шкільного віку дозволяє сформувати стійкі навички свідомої регуляції емоційних станів, самовладання у стресових ситуаціях, навички конструктивної взаємодії з людьми (вчителями, однокласниками, близькими) у будь-яких умовах.</w:t>
      </w:r>
    </w:p>
    <w:p w14:paraId="28B850C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Безумовно, емоційний інтелект, у т. ч. дитини молодшого шкільного віку, найбільш виразно проявляється у спілкуванні. Доброзичливість, тактовність, вміння швидко оцінити ситуацію і необхідним чином реагувати на неї, формувати позитивний емоційний клімат – все це фактори, що сприяють ефективному спілкуванню. Рівень емоційного інтелекту у дітей молодшого шкільного віку впливає на особливості та характер сімейних взаємин; сприяє вибору найбільш конструктивних способів виходу із конфліктів. Високий рівень розвитку емпатії сприяє багатьом позитивним характеристикам спілкування. </w:t>
      </w:r>
    </w:p>
    <w:p w14:paraId="4200C6E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Випробувані з вищим рівнем розвитку емоційного інтелекту відзначають у відносинах з однолітками достатній ступінь взаєморозуміння, довірливості відносин між ними, легкість та </w:t>
      </w:r>
      <w:proofErr w:type="spellStart"/>
      <w:r>
        <w:rPr>
          <w:rFonts w:ascii="Times New Roman" w:eastAsia="Times New Roman" w:hAnsi="Times New Roman" w:cs="Times New Roman"/>
          <w:sz w:val="28"/>
          <w:szCs w:val="28"/>
        </w:rPr>
        <w:t>психотерапевтичність</w:t>
      </w:r>
      <w:proofErr w:type="spellEnd"/>
      <w:r>
        <w:rPr>
          <w:rFonts w:ascii="Times New Roman" w:eastAsia="Times New Roman" w:hAnsi="Times New Roman" w:cs="Times New Roman"/>
          <w:sz w:val="28"/>
          <w:szCs w:val="28"/>
        </w:rPr>
        <w:t xml:space="preserve"> спілкування; вибирають найбільш конструктивний спосіб вирішення конфліктів – співпрацю, і рідко використовують стратегію уникнення. Також встановлений взаємозв’язок між умінням розпізнавати власні емоції та емоції іншої людини, наявністю взаєморозуміння між однолітками та </w:t>
      </w:r>
      <w:proofErr w:type="spellStart"/>
      <w:r>
        <w:rPr>
          <w:rFonts w:ascii="Times New Roman" w:eastAsia="Times New Roman" w:hAnsi="Times New Roman" w:cs="Times New Roman"/>
          <w:sz w:val="28"/>
          <w:szCs w:val="28"/>
        </w:rPr>
        <w:t>психотерапевтичністю</w:t>
      </w:r>
      <w:proofErr w:type="spellEnd"/>
      <w:r>
        <w:rPr>
          <w:rFonts w:ascii="Times New Roman" w:eastAsia="Times New Roman" w:hAnsi="Times New Roman" w:cs="Times New Roman"/>
          <w:sz w:val="28"/>
          <w:szCs w:val="28"/>
        </w:rPr>
        <w:t xml:space="preserve"> їх спілкування.</w:t>
      </w:r>
    </w:p>
    <w:p w14:paraId="32DA69A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формування емоційного інтелекту дитини молодшого шкільного віку впливає зокрема робота із сильними емоціями, а саме робота з управління власними емоціями; захист від емоційного зараження як негативними, так і позитивними емоціями.</w:t>
      </w:r>
    </w:p>
    <w:p w14:paraId="0012E85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освоює світ, правила поведінки у суспільстві, взаємодію з іншими людьми через фантазію та гру. Жодна річ у світі не була б винайдена, якби не було уяви. Виділяють дві основні функції уяви, які проходять через певні етапи свого розвитку.</w:t>
      </w:r>
    </w:p>
    <w:p w14:paraId="7067CA1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Пізнавальна. Ця функція націлена на усунення протиріч, які часто виникають у голові у дошкільника через малий життєвий досвід. Уява у цій іпостасі виконує роль будівельника для цілісної картини світу дитини. Формування пізнавальної уяви відбувається у процесі гри.</w:t>
      </w:r>
    </w:p>
    <w:p w14:paraId="58C18E1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Афективна. Виконує функцію захисту з появою протиріч між образами в голові дитини та реальною картиною. Афективна уява допомагає дитині </w:t>
      </w:r>
      <w:r>
        <w:rPr>
          <w:rFonts w:ascii="Times New Roman" w:eastAsia="Times New Roman" w:hAnsi="Times New Roman" w:cs="Times New Roman"/>
          <w:sz w:val="28"/>
          <w:szCs w:val="28"/>
        </w:rPr>
        <w:lastRenderedPageBreak/>
        <w:t>засвоювати норми поведінки. Розвивається у процесі програвання дитиною ситуацій та подальших переживань [20].</w:t>
      </w:r>
    </w:p>
    <w:p w14:paraId="1474912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Уява буває наступних видів:</w:t>
      </w:r>
    </w:p>
    <w:p w14:paraId="56F035C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відтворююча – найчастіший вид, коли образи у голові відтворюються з урахуванням будь-якої інформації, наприклад, під час читання книжки дитина уявляє собі героїв, місце, події;</w:t>
      </w:r>
    </w:p>
    <w:p w14:paraId="584B826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творча – образи у голові з’являються у нових форматах без опори на наявну інформацію. Цей вид уяви необхідно цілеспрямовано розвивати, оскільки він формується сам собою;</w:t>
      </w:r>
    </w:p>
    <w:p w14:paraId="63D7BB2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некерована – вид, властивий «буйним фантазерам» і вигадникам, які не можуть керувати своїм потоком фантазій, не мають жодної послідовності та логіки образів і часто не відрізняють реальність та вигадку [20].</w:t>
      </w:r>
    </w:p>
    <w:p w14:paraId="6634D24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розвиненої уяви на цьому етапі: різноманітність ігрових сюжетів, самостійність у використанні предметів-заступників, оригінальність заміщень дій у грі. У цьому віці виникає афективний вид уяви, коли дитина починає усвідомлювати свою окремість від інших людей. Отже, уява у середньому дошкільному віці набуває самостійного характеру.</w:t>
      </w:r>
    </w:p>
    <w:p w14:paraId="13734C87" w14:textId="77777777" w:rsidR="0025671A" w:rsidRDefault="0025671A">
      <w:pPr>
        <w:spacing w:after="0" w:line="360" w:lineRule="auto"/>
        <w:jc w:val="both"/>
        <w:rPr>
          <w:rFonts w:ascii="Times New Roman" w:eastAsia="Times New Roman" w:hAnsi="Times New Roman" w:cs="Times New Roman"/>
          <w:sz w:val="28"/>
          <w:szCs w:val="28"/>
        </w:rPr>
      </w:pPr>
    </w:p>
    <w:p w14:paraId="494B9801"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4" w:name="_3znysh7" w:colFirst="0" w:colLast="0"/>
      <w:bookmarkEnd w:id="4"/>
      <w:r>
        <w:rPr>
          <w:rFonts w:ascii="Times New Roman" w:eastAsia="Times New Roman" w:hAnsi="Times New Roman" w:cs="Times New Roman"/>
          <w:b/>
          <w:color w:val="000000"/>
          <w:sz w:val="28"/>
          <w:szCs w:val="28"/>
        </w:rPr>
        <w:t>1.2. Поняття та характеристика засобів інноваційних технологій фізичного виховання</w:t>
      </w:r>
    </w:p>
    <w:p w14:paraId="74134AB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Інноваційні технології у фізичному вихованні спрямовані на підвищення ефективності навчального процесу, покращення фізичної підготовки та здоров’я учнів. Вони включають використання сучасних методів, засобів та підходів, які допомагають досягти високих результатів у фізичному вихованні.</w:t>
      </w:r>
    </w:p>
    <w:p w14:paraId="2325F49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Інноваційні технології – це нові методи, засоби та підходи, які впроваджуються у фізичне виховання для підвищення його ефективності [7].</w:t>
      </w:r>
    </w:p>
    <w:p w14:paraId="02263CC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Види інноваційних технологій:</w:t>
      </w:r>
    </w:p>
    <w:p w14:paraId="0FF6369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Інформаційні технології. Використання комп’ютерних програм, мобільних додатків та інших цифрових засобів для моніторингу та аналізу фізичної активності. У фізичному вихованні використовуються різноманітні </w:t>
      </w:r>
      <w:r>
        <w:rPr>
          <w:rFonts w:ascii="Times New Roman" w:eastAsia="Times New Roman" w:hAnsi="Times New Roman" w:cs="Times New Roman"/>
          <w:sz w:val="28"/>
          <w:szCs w:val="28"/>
        </w:rPr>
        <w:lastRenderedPageBreak/>
        <w:t>комп’ютерні програми, мобільні додатки та інші цифрові засоби для покращення ефективності тренувань, моніторингу фізичної активності та аналізу результатів. Одним із популярних інструментів є фітнес-</w:t>
      </w:r>
      <w:proofErr w:type="spellStart"/>
      <w:r>
        <w:rPr>
          <w:rFonts w:ascii="Times New Roman" w:eastAsia="Times New Roman" w:hAnsi="Times New Roman" w:cs="Times New Roman"/>
          <w:sz w:val="28"/>
          <w:szCs w:val="28"/>
        </w:rPr>
        <w:t>трекери</w:t>
      </w:r>
      <w:proofErr w:type="spellEnd"/>
      <w:r>
        <w:rPr>
          <w:rFonts w:ascii="Times New Roman" w:eastAsia="Times New Roman" w:hAnsi="Times New Roman" w:cs="Times New Roman"/>
          <w:sz w:val="28"/>
          <w:szCs w:val="28"/>
        </w:rPr>
        <w:t xml:space="preserve">, такі як </w:t>
      </w:r>
      <w:proofErr w:type="spellStart"/>
      <w:r>
        <w:rPr>
          <w:rFonts w:ascii="Times New Roman" w:eastAsia="Times New Roman" w:hAnsi="Times New Roman" w:cs="Times New Roman"/>
          <w:sz w:val="28"/>
          <w:szCs w:val="28"/>
        </w:rPr>
        <w:t>Fitbit</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Garmin</w:t>
      </w:r>
      <w:proofErr w:type="spellEnd"/>
      <w:r>
        <w:rPr>
          <w:rFonts w:ascii="Times New Roman" w:eastAsia="Times New Roman" w:hAnsi="Times New Roman" w:cs="Times New Roman"/>
          <w:sz w:val="28"/>
          <w:szCs w:val="28"/>
        </w:rPr>
        <w:t>, які дозволяють відстежувати кількість кроків, витрачені калорії, частоту серцевих скорочень та інші показники. Ці дані можуть бути синхронізовані з мобільними додатками для детального аналізу та планування тренувань.</w:t>
      </w:r>
    </w:p>
    <w:p w14:paraId="7398532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Мобільні додатки, такі як </w:t>
      </w:r>
      <w:proofErr w:type="spellStart"/>
      <w:r>
        <w:rPr>
          <w:rFonts w:ascii="Times New Roman" w:eastAsia="Times New Roman" w:hAnsi="Times New Roman" w:cs="Times New Roman"/>
          <w:sz w:val="28"/>
          <w:szCs w:val="28"/>
        </w:rPr>
        <w:t>MyFitnessPal</w:t>
      </w:r>
      <w:proofErr w:type="spellEnd"/>
      <w:r>
        <w:rPr>
          <w:rFonts w:ascii="Times New Roman" w:eastAsia="Times New Roman" w:hAnsi="Times New Roman" w:cs="Times New Roman"/>
          <w:sz w:val="28"/>
          <w:szCs w:val="28"/>
        </w:rPr>
        <w:t xml:space="preserve">, допомагають користувачам відстежувати харчування та фізичну активність. Вони надають можливість вести щоденник харчування, розраховувати калорійність страв та планувати раціон відповідно до індивідуальних потреб. Інші додатки, такі як </w:t>
      </w:r>
      <w:proofErr w:type="spellStart"/>
      <w:r>
        <w:rPr>
          <w:rFonts w:ascii="Times New Roman" w:eastAsia="Times New Roman" w:hAnsi="Times New Roman" w:cs="Times New Roman"/>
          <w:sz w:val="28"/>
          <w:szCs w:val="28"/>
        </w:rPr>
        <w:t>Nike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Club</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Adidas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Training</w:t>
      </w:r>
      <w:proofErr w:type="spellEnd"/>
      <w:r>
        <w:rPr>
          <w:rFonts w:ascii="Times New Roman" w:eastAsia="Times New Roman" w:hAnsi="Times New Roman" w:cs="Times New Roman"/>
          <w:sz w:val="28"/>
          <w:szCs w:val="28"/>
        </w:rPr>
        <w:t xml:space="preserve">, пропонують готові програми тренувань, </w:t>
      </w:r>
      <w:proofErr w:type="spellStart"/>
      <w:r>
        <w:rPr>
          <w:rFonts w:ascii="Times New Roman" w:eastAsia="Times New Roman" w:hAnsi="Times New Roman" w:cs="Times New Roman"/>
          <w:sz w:val="28"/>
          <w:szCs w:val="28"/>
        </w:rPr>
        <w:t>відеоуроки</w:t>
      </w:r>
      <w:proofErr w:type="spellEnd"/>
      <w:r>
        <w:rPr>
          <w:rFonts w:ascii="Times New Roman" w:eastAsia="Times New Roman" w:hAnsi="Times New Roman" w:cs="Times New Roman"/>
          <w:sz w:val="28"/>
          <w:szCs w:val="28"/>
        </w:rPr>
        <w:t xml:space="preserve"> та рекомендації від професійних тренерів.</w:t>
      </w:r>
    </w:p>
    <w:p w14:paraId="35BC223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Комп’ютерні програми, такі як </w:t>
      </w:r>
      <w:proofErr w:type="spellStart"/>
      <w:r>
        <w:rPr>
          <w:rFonts w:ascii="Times New Roman" w:eastAsia="Times New Roman" w:hAnsi="Times New Roman" w:cs="Times New Roman"/>
          <w:sz w:val="28"/>
          <w:szCs w:val="28"/>
        </w:rPr>
        <w:t>Dartfish</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Coach’s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Eye</w:t>
      </w:r>
      <w:proofErr w:type="spellEnd"/>
      <w:r>
        <w:rPr>
          <w:rFonts w:ascii="Times New Roman" w:eastAsia="Times New Roman" w:hAnsi="Times New Roman" w:cs="Times New Roman"/>
          <w:sz w:val="28"/>
          <w:szCs w:val="28"/>
        </w:rPr>
        <w:t>, використовуються для аналізу техніки виконання вправ. Вони дозволяють записувати відео тренувань, аналізувати рухи в уповільненому режимі та порівнювати їх з еталонними виконаннями. Це допомагає тренерам і спортсменам виявляти помилки та вдосконалювати техніку.</w:t>
      </w:r>
    </w:p>
    <w:p w14:paraId="0D7A7B3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Інформаційні системи, такі як електронні журнали та платформи для управління тренувальним процесом, дозволяють тренерам і викладачам вести облік результатів, планувати тренування та відстежувати прогрес учнів. Ці системи можуть інтегруватися з іншими цифровими засобами, що забезпечує комплексний підхід до фізичного виховання.</w:t>
      </w:r>
    </w:p>
    <w:p w14:paraId="2ED5CCE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цих технологій допомагає зробити процес фізичного виховання більш ефективним, цікавим та індивідуалізованим, що сприяє досягненню кращих результатів та покращенню здоров’я учнів [15].</w:t>
      </w:r>
    </w:p>
    <w:p w14:paraId="5B220D7C" w14:textId="77777777" w:rsidR="0025671A" w:rsidRDefault="00D74137">
      <w:pPr>
        <w:spacing w:after="0" w:line="360" w:lineRule="auto"/>
        <w:ind w:firstLine="709"/>
        <w:jc w:val="both"/>
      </w:pPr>
      <w:r>
        <w:rPr>
          <w:rFonts w:ascii="Times New Roman" w:eastAsia="Times New Roman" w:hAnsi="Times New Roman" w:cs="Times New Roman"/>
          <w:sz w:val="28"/>
          <w:szCs w:val="28"/>
        </w:rPr>
        <w:t xml:space="preserve">2. Оздоровчі технології. Програми, спрямовані на покращення здоров’я та фізичної форми, такі як фітнес-тренування, йога, </w:t>
      </w:r>
      <w:proofErr w:type="spellStart"/>
      <w:r>
        <w:rPr>
          <w:rFonts w:ascii="Times New Roman" w:eastAsia="Times New Roman" w:hAnsi="Times New Roman" w:cs="Times New Roman"/>
          <w:sz w:val="28"/>
          <w:szCs w:val="28"/>
        </w:rPr>
        <w:t>пілатес</w:t>
      </w:r>
      <w:proofErr w:type="spellEnd"/>
      <w:r>
        <w:rPr>
          <w:rFonts w:ascii="Times New Roman" w:eastAsia="Times New Roman" w:hAnsi="Times New Roman" w:cs="Times New Roman"/>
          <w:sz w:val="28"/>
          <w:szCs w:val="28"/>
        </w:rPr>
        <w:t>.</w:t>
      </w:r>
      <w:r>
        <w:t xml:space="preserve"> </w:t>
      </w:r>
    </w:p>
    <w:p w14:paraId="446C32E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Оздоровчі технології у фізичному вихованні спрямовані на покращення фізичного стану, зміцнення здоров’я та підвищення загальної фізичної </w:t>
      </w:r>
      <w:r>
        <w:rPr>
          <w:rFonts w:ascii="Times New Roman" w:eastAsia="Times New Roman" w:hAnsi="Times New Roman" w:cs="Times New Roman"/>
          <w:sz w:val="28"/>
          <w:szCs w:val="28"/>
        </w:rPr>
        <w:lastRenderedPageBreak/>
        <w:t xml:space="preserve">підготовки учнів. Вони включають різні методи, засоби та підходи, які допомагають досягти цих цілей. Одним із ключових аспектів є використання фітнес-програм, які базуються на різних видах рухової активності. Наприклад, силові тренування спрямовані на розвиток м’язової сили та витривалості, аеробні тренування допомагають покращити роботу серцево-судинної системи та підвищити загальну витривалість. Також використовуються програми, засновані на оздоровчих видах гімнастики, таких як йога або </w:t>
      </w:r>
      <w:proofErr w:type="spellStart"/>
      <w:r>
        <w:rPr>
          <w:rFonts w:ascii="Times New Roman" w:eastAsia="Times New Roman" w:hAnsi="Times New Roman" w:cs="Times New Roman"/>
          <w:sz w:val="28"/>
          <w:szCs w:val="28"/>
        </w:rPr>
        <w:t>пілатес</w:t>
      </w:r>
      <w:proofErr w:type="spellEnd"/>
      <w:r>
        <w:rPr>
          <w:rFonts w:ascii="Times New Roman" w:eastAsia="Times New Roman" w:hAnsi="Times New Roman" w:cs="Times New Roman"/>
          <w:sz w:val="28"/>
          <w:szCs w:val="28"/>
        </w:rPr>
        <w:t>, які сприяють розвитку гнучкості, координації та зниженню рівня стресу.</w:t>
      </w:r>
    </w:p>
    <w:p w14:paraId="05E98E21"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елементом оздоровчих технологій є індивідуалізація тренувального процесу. Це означає, що програми тренувань адаптуються під індивідуальні особливості кожного учня, враховуючи його фізичний стан, рівень підготовки та особисті цілі. Такий підхід дозволяє досягти максимальних результатів та уникнути перевантажень.</w:t>
      </w:r>
    </w:p>
    <w:p w14:paraId="6BFE430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цього, важливу роль відіграють методичні засоби, які включають новітні методики та програми тренувань. Наприклад, інтервальні тренування, які чергують періоди високої та низької інтенсивності, допомагають ефективно спалювати калорії та покращувати фізичну форму. Функціональний тренінг, який включає вправи, що імітують повсякденні рухи, сприяє розвитку загальної фізичної підготовки та зниженню ризику травм.</w:t>
      </w:r>
    </w:p>
    <w:p w14:paraId="145E68D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важливою складовою оздоровчих технологій є раціональне харчування. Під час занять фізичним вихованням рекомендується дотримуватися збалансованого раціону, який забезпечує організм необхідними поживними речовинами для відновлення та зростання м’язів. Це включає вживання достатньої кількості білків, вуглеводів та жирів, а також вітамінів та мінералів.</w:t>
      </w:r>
    </w:p>
    <w:p w14:paraId="04E8DF5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Технології оптимізації тренувального процесу. Використання сучасних методик для підвищення ефективності тренувань, наприклад, інтервальні тренування, функціональний тренінг.</w:t>
      </w:r>
      <w:r>
        <w:t xml:space="preserve"> </w:t>
      </w:r>
      <w:r>
        <w:rPr>
          <w:rFonts w:ascii="Times New Roman" w:eastAsia="Times New Roman" w:hAnsi="Times New Roman" w:cs="Times New Roman"/>
          <w:sz w:val="28"/>
          <w:szCs w:val="28"/>
        </w:rPr>
        <w:t xml:space="preserve">Технології оптимізації тренувального процесу у фізичному вихованні спрямовані на підвищення ефективності </w:t>
      </w:r>
      <w:r>
        <w:rPr>
          <w:rFonts w:ascii="Times New Roman" w:eastAsia="Times New Roman" w:hAnsi="Times New Roman" w:cs="Times New Roman"/>
          <w:sz w:val="28"/>
          <w:szCs w:val="28"/>
        </w:rPr>
        <w:lastRenderedPageBreak/>
        <w:t xml:space="preserve">тренувань, покращення фізичної підготовки та досягнення кращих результатів [18]. </w:t>
      </w:r>
    </w:p>
    <w:p w14:paraId="74CCE14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технології оптимізації тренувального процесу у фізичному вихованні спрямовані на створення умов для гармонійного розвитку особистості, зміцнення здоров’я та підвищення якості життя учнів. Вони допомагають зробити процес фізичного виховання більш ефективним, цікавим та результативним, сприяючи формуванню здорового способу життя.</w:t>
      </w:r>
    </w:p>
    <w:p w14:paraId="72EB1E0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Принципи та закономірності функціонування інноваційних технологій фізичного виховання:</w:t>
      </w:r>
    </w:p>
    <w:p w14:paraId="40EB1C0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Індивідуалізація. Підхід, що враховує індивідуальні особливості кожного учня, його фізичний стан та рівень підготовки.</w:t>
      </w:r>
    </w:p>
    <w:p w14:paraId="169E0DC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Індивідуалізований підхід у фізичному вихованні передбачає врахування унікальних особливостей кожного учня, його фізичного стану, рівня підготовки та особистих потреб. Це означає, що тренувальні програми та методики адаптуються під конкретні можливості та цілі кожного учасника. Наприклад, учні з різним рівнем фізичної підготовки потребують різних навантажень та інтенсивності тренувань. Для цього використовуються попередні оцінки фізичного стану, такі як тестування витривалості, сили, гнучкості та координації. На основі цих даних складаються індивідуальні плани тренувань, які враховують слабкі та сильні сторони кожного учня [5].</w:t>
      </w:r>
    </w:p>
    <w:p w14:paraId="48838D1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аспектом є також врахування стану здоров’я. Учні з хронічними захворюваннями або тимчасовими обмеженнями потребують особливого підходу. Наприклад, для учнів з астмою можуть бути рекомендовані спеціальні дихальні вправи та помірні аеробні навантаження, які не викликають загострення симптомів. Для учнів з проблемами опорно-рухового апарату можуть бути розроблені спеціальні комплекси вправ, спрямовані на зміцнення м’язів та покращення рухливості суглобів.</w:t>
      </w:r>
    </w:p>
    <w:p w14:paraId="79C7B61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Індивідуалізація також включає врахування психологічних аспектів. Наприклад, учні з високим рівнем тривожності можуть потребувати більш м’якого підходу та підтримки з боку тренера. Використання позитивного </w:t>
      </w:r>
      <w:r>
        <w:rPr>
          <w:rFonts w:ascii="Times New Roman" w:eastAsia="Times New Roman" w:hAnsi="Times New Roman" w:cs="Times New Roman"/>
          <w:sz w:val="28"/>
          <w:szCs w:val="28"/>
        </w:rPr>
        <w:lastRenderedPageBreak/>
        <w:t>підкріплення, мотиваційних технік та створення доброзичливої атмосфери допомагає таким учням відчувати себе комфортніше та досягати кращих результатів [16].</w:t>
      </w:r>
    </w:p>
    <w:p w14:paraId="7DA1864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важливо враховувати особисті інтереси та мотивацію учнів. Наприклад, якщо учень захоплюється певним видом спорту, тренувальна програма може бути адаптована під цей інтерес, що підвищить його залученість та мотивацію до занять. Використання різноманітних методик та підходів, таких як ігрові форми тренувань, інтерактивні заняття та використання сучасних технологій, також сприяє підвищенню інтересу до фізичного виховання.</w:t>
      </w:r>
    </w:p>
    <w:p w14:paraId="38A9C17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індивідуалізований підхід у фізичному вихованні спрямований на створення умов, які дозволяють кожному учню розвиватися відповідно до його можливостей та потреб. Це забезпечує більш ефективне досягнення навчальних цілей, покращення фізичного стану та загального здоров’я учнів, а також сприяє формуванню позитивного ставлення до фізичної активності та здорового способу життя.</w:t>
      </w:r>
    </w:p>
    <w:p w14:paraId="6370B4F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Наукова обґрунтованість. Використання методик, що базуються на наукових дослідженнях та доказах.</w:t>
      </w:r>
      <w:r>
        <w:t xml:space="preserve"> </w:t>
      </w:r>
      <w:r>
        <w:rPr>
          <w:rFonts w:ascii="Times New Roman" w:eastAsia="Times New Roman" w:hAnsi="Times New Roman" w:cs="Times New Roman"/>
          <w:sz w:val="28"/>
          <w:szCs w:val="28"/>
        </w:rPr>
        <w:t xml:space="preserve">Це є важливим аспектом у фізичному вихованні, оскільки вони забезпечують надійність і ефективність тренувальних програм. Ці методики ґрунтуються на результатах наукових досліджень, які підтверджують їхню дієвість та безпечність. </w:t>
      </w:r>
    </w:p>
    <w:p w14:paraId="75DA8E4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Засоби інноваційних технологій у фізичному вихованні:</w:t>
      </w:r>
    </w:p>
    <w:p w14:paraId="5C90A53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Технічні засоби. Використання спеціального обладнання, наприклад, фітнес-</w:t>
      </w:r>
      <w:proofErr w:type="spellStart"/>
      <w:r>
        <w:rPr>
          <w:rFonts w:ascii="Times New Roman" w:eastAsia="Times New Roman" w:hAnsi="Times New Roman" w:cs="Times New Roman"/>
          <w:sz w:val="28"/>
          <w:szCs w:val="28"/>
        </w:rPr>
        <w:t>трекерів</w:t>
      </w:r>
      <w:proofErr w:type="spellEnd"/>
      <w:r>
        <w:rPr>
          <w:rFonts w:ascii="Times New Roman" w:eastAsia="Times New Roman" w:hAnsi="Times New Roman" w:cs="Times New Roman"/>
          <w:sz w:val="28"/>
          <w:szCs w:val="28"/>
        </w:rPr>
        <w:t>, сенсорних пристроїв для вимірювання фізичних показників.</w:t>
      </w:r>
    </w:p>
    <w:p w14:paraId="341DFE3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Методичні засоби. Новітні методики та програми тренувань, що спрямовані на досягнення конкретних цілей, таких як підвищення витривалості, сили або гнучкості [34].</w:t>
      </w:r>
    </w:p>
    <w:p w14:paraId="7DAEBE1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Інноваційні технології у фізичному вихованні допомагають зробити процес навчання більш цікавим, ефективним та результативним. Вони сприяють розвитку фізичних здібностей учнів та покращенню їхнього здоров’я.</w:t>
      </w:r>
    </w:p>
    <w:p w14:paraId="33BFCCC7" w14:textId="77777777" w:rsidR="0025671A" w:rsidRDefault="0025671A">
      <w:pPr>
        <w:spacing w:after="0" w:line="360" w:lineRule="auto"/>
        <w:jc w:val="both"/>
        <w:rPr>
          <w:rFonts w:ascii="Times New Roman" w:eastAsia="Times New Roman" w:hAnsi="Times New Roman" w:cs="Times New Roman"/>
          <w:sz w:val="28"/>
          <w:szCs w:val="28"/>
        </w:rPr>
      </w:pPr>
    </w:p>
    <w:p w14:paraId="601FC655"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5" w:name="_2et92p0" w:colFirst="0" w:colLast="0"/>
      <w:bookmarkEnd w:id="5"/>
      <w:r>
        <w:rPr>
          <w:rFonts w:ascii="Times New Roman" w:eastAsia="Times New Roman" w:hAnsi="Times New Roman" w:cs="Times New Roman"/>
          <w:b/>
          <w:color w:val="000000"/>
          <w:sz w:val="28"/>
          <w:szCs w:val="28"/>
        </w:rPr>
        <w:t>1.3. Види засобів інноваційних технологій фізичного виховання.</w:t>
      </w:r>
    </w:p>
    <w:p w14:paraId="3E089521"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Інноваційні технології у фізичному вихованні для дітей молодшого шкільного віку включають різноманітні засоби, які сприяють розвитку фізичних здібностей, мотивації до занять спортом та загальному оздоровленню. Одним із таких засобів є інтерактивні ігри та програми, які використовують елементи </w:t>
      </w:r>
      <w:proofErr w:type="spellStart"/>
      <w:r>
        <w:rPr>
          <w:rFonts w:ascii="Times New Roman" w:eastAsia="Times New Roman" w:hAnsi="Times New Roman" w:cs="Times New Roman"/>
          <w:sz w:val="28"/>
          <w:szCs w:val="28"/>
        </w:rPr>
        <w:t>гейміфікації</w:t>
      </w:r>
      <w:proofErr w:type="spellEnd"/>
      <w:r>
        <w:rPr>
          <w:rFonts w:ascii="Times New Roman" w:eastAsia="Times New Roman" w:hAnsi="Times New Roman" w:cs="Times New Roman"/>
          <w:sz w:val="28"/>
          <w:szCs w:val="28"/>
        </w:rPr>
        <w:t xml:space="preserve"> для залучення дітей до фізичної активності. Наприклад, програми на основі доповненої реальності (AR) дозволяють дітям виконувати вправи, слідуючи за віртуальними персонажами або об’єктами, що робить процес тренувань більш захоплюючим та цікавим.</w:t>
      </w:r>
    </w:p>
    <w:p w14:paraId="6A4DDC31" w14:textId="77777777" w:rsidR="0025671A" w:rsidRDefault="00D74137">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Гейміфікація</w:t>
      </w:r>
      <w:proofErr w:type="spellEnd"/>
      <w:r>
        <w:rPr>
          <w:rFonts w:ascii="Times New Roman" w:eastAsia="Times New Roman" w:hAnsi="Times New Roman" w:cs="Times New Roman"/>
          <w:sz w:val="28"/>
          <w:szCs w:val="28"/>
        </w:rPr>
        <w:t xml:space="preserve"> у фізичному вихованні дітей молодшого шкільного віку є потужним інструментом, який допомагає зробити процес навчання більш захоплюючим та ефективним. Вона базується на використанні ігрових елементів та механік для підвищення мотивації та залученості дітей до фізичної активності. Одним із ключових аспектів </w:t>
      </w:r>
      <w:proofErr w:type="spellStart"/>
      <w:r>
        <w:rPr>
          <w:rFonts w:ascii="Times New Roman" w:eastAsia="Times New Roman" w:hAnsi="Times New Roman" w:cs="Times New Roman"/>
          <w:sz w:val="28"/>
          <w:szCs w:val="28"/>
        </w:rPr>
        <w:t>гейміфікації</w:t>
      </w:r>
      <w:proofErr w:type="spellEnd"/>
      <w:r>
        <w:rPr>
          <w:rFonts w:ascii="Times New Roman" w:eastAsia="Times New Roman" w:hAnsi="Times New Roman" w:cs="Times New Roman"/>
          <w:sz w:val="28"/>
          <w:szCs w:val="28"/>
        </w:rPr>
        <w:t xml:space="preserve"> є створення умов, які дозволяють дітям відчувати себе частиною гри, де вони можуть досягати певних цілей, отримувати нагороди та змагатися з однолітками [6].</w:t>
      </w:r>
    </w:p>
    <w:p w14:paraId="48052F6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w:t>
      </w:r>
      <w:proofErr w:type="spellStart"/>
      <w:r>
        <w:rPr>
          <w:rFonts w:ascii="Times New Roman" w:eastAsia="Times New Roman" w:hAnsi="Times New Roman" w:cs="Times New Roman"/>
          <w:sz w:val="28"/>
          <w:szCs w:val="28"/>
        </w:rPr>
        <w:t>гейміфікації</w:t>
      </w:r>
      <w:proofErr w:type="spellEnd"/>
      <w:r>
        <w:rPr>
          <w:rFonts w:ascii="Times New Roman" w:eastAsia="Times New Roman" w:hAnsi="Times New Roman" w:cs="Times New Roman"/>
          <w:sz w:val="28"/>
          <w:szCs w:val="28"/>
        </w:rPr>
        <w:t xml:space="preserve"> включає різні елементи, такі як бали, рівні, значки, таблиці лідерів та інші форми зворотного зв’язку. Наприклад, діти можуть отримувати бали за виконання певних фізичних вправ або завдань, які потім можна обміняти на нагороди або підвищення рівня. Це створює додаткову мотивацію для участі у фізичній активності та досягнення кращих результатів.</w:t>
      </w:r>
    </w:p>
    <w:p w14:paraId="09F82F9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Ігрові сценарії та сюжети також є важливими елементами </w:t>
      </w:r>
      <w:proofErr w:type="spellStart"/>
      <w:r>
        <w:rPr>
          <w:rFonts w:ascii="Times New Roman" w:eastAsia="Times New Roman" w:hAnsi="Times New Roman" w:cs="Times New Roman"/>
          <w:sz w:val="28"/>
          <w:szCs w:val="28"/>
        </w:rPr>
        <w:t>гейміфікації</w:t>
      </w:r>
      <w:proofErr w:type="spellEnd"/>
      <w:r>
        <w:rPr>
          <w:rFonts w:ascii="Times New Roman" w:eastAsia="Times New Roman" w:hAnsi="Times New Roman" w:cs="Times New Roman"/>
          <w:sz w:val="28"/>
          <w:szCs w:val="28"/>
        </w:rPr>
        <w:t>. Наприклад, уроки фізичної культури можуть бути організовані у формі пригодницької гри, де діти виконують різні завдання, щоб досягти певної мети, наприклад, врятувати вигаданий світ або знайти скарб. Це допомагає зробити заняття більш цікавими та захоплюючими, а також сприяє розвитку уяви та креативності [13].</w:t>
      </w:r>
    </w:p>
    <w:p w14:paraId="1146EEB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Змагальний елемент також відіграє важливу роль у </w:t>
      </w:r>
      <w:proofErr w:type="spellStart"/>
      <w:r>
        <w:rPr>
          <w:rFonts w:ascii="Times New Roman" w:eastAsia="Times New Roman" w:hAnsi="Times New Roman" w:cs="Times New Roman"/>
          <w:sz w:val="28"/>
          <w:szCs w:val="28"/>
        </w:rPr>
        <w:t>гейміфікації</w:t>
      </w:r>
      <w:proofErr w:type="spellEnd"/>
      <w:r>
        <w:rPr>
          <w:rFonts w:ascii="Times New Roman" w:eastAsia="Times New Roman" w:hAnsi="Times New Roman" w:cs="Times New Roman"/>
          <w:sz w:val="28"/>
          <w:szCs w:val="28"/>
        </w:rPr>
        <w:t>. Організація змагань між командами або індивідуальними учасниками допомагає розвивати командний дух, співпрацю та здорову конкуренцію. Наприклад, діти можуть брати участь у спортивних турнірах, де вони змагаються за першість у різних видах спорту або фізичних вправ. Це не тільки підвищує їхню фізичну підготовку, але й сприяє розвитку соціальних навичок та вмінню працювати в команді [12].</w:t>
      </w:r>
    </w:p>
    <w:p w14:paraId="69412FD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технологій також є важливим аспектом </w:t>
      </w:r>
      <w:proofErr w:type="spellStart"/>
      <w:r>
        <w:rPr>
          <w:rFonts w:ascii="Times New Roman" w:eastAsia="Times New Roman" w:hAnsi="Times New Roman" w:cs="Times New Roman"/>
          <w:sz w:val="28"/>
          <w:szCs w:val="28"/>
        </w:rPr>
        <w:t>гейміфікації</w:t>
      </w:r>
      <w:proofErr w:type="spellEnd"/>
      <w:r>
        <w:rPr>
          <w:rFonts w:ascii="Times New Roman" w:eastAsia="Times New Roman" w:hAnsi="Times New Roman" w:cs="Times New Roman"/>
          <w:sz w:val="28"/>
          <w:szCs w:val="28"/>
        </w:rPr>
        <w:t>. Наприклад, інтерактивні додатки та програми можуть використовуватися для створення віртуальних змагань та тренувань. Діти можуть виконувати вправи, слідуючи за віртуальними персонажами або об’єктами, що робить процес тренувань більш захоплюючим та інтерактивним. Такі програми можуть також надавати зворотний зв’язок у режимі реального часу, що допомагає дітям коригувати свої дії та досягати кращих результатів [45].</w:t>
      </w:r>
    </w:p>
    <w:p w14:paraId="04D5E00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сенсорних пристроїв, таких як фітнес-</w:t>
      </w:r>
      <w:proofErr w:type="spellStart"/>
      <w:r>
        <w:rPr>
          <w:rFonts w:ascii="Times New Roman" w:eastAsia="Times New Roman" w:hAnsi="Times New Roman" w:cs="Times New Roman"/>
          <w:sz w:val="28"/>
          <w:szCs w:val="28"/>
        </w:rPr>
        <w:t>трекери</w:t>
      </w:r>
      <w:proofErr w:type="spellEnd"/>
      <w:r>
        <w:rPr>
          <w:rFonts w:ascii="Times New Roman" w:eastAsia="Times New Roman" w:hAnsi="Times New Roman" w:cs="Times New Roman"/>
          <w:sz w:val="28"/>
          <w:szCs w:val="28"/>
        </w:rPr>
        <w:t>, допомагає відстежувати фізичну активність дітей, їхній пульс, кількість кроків та витрачені калорії. Це дозволяє вчителям та батькам контролювати рівень фізичної активності дітей та коригувати тренувальні програми відповідно до отриманих даних. Такі пристрої також можуть мотивувати дітей до більш активного способу життя, надаючи їм можливість бачити свої досягнення та прогрес.</w:t>
      </w:r>
    </w:p>
    <w:p w14:paraId="1C00C6A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Інтерактивні дошки та мультимедійні засоби використовуються для проведення уроків фізичної культури, де діти можуть дивитися навчальні відео, виконувати вправи під музику або слідкувати за інструкціями віртуальних тренерів. Це допомагає зробити заняття більш динамічними та цікавими, а також сприяє кращому засвоєнню матеріалу [19].</w:t>
      </w:r>
    </w:p>
    <w:p w14:paraId="64D211D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Мультимедійні засоби відіграють важливу роль у проведенні уроків фізичної культури, роблячи їх більш інтерактивними, цікавими та ефективними. Одним із основних засобів є інтерактивні дошки, які дозволяють вчителям демонструвати навчальні відео, презентації та інші мультимедійні </w:t>
      </w:r>
      <w:r>
        <w:rPr>
          <w:rFonts w:ascii="Times New Roman" w:eastAsia="Times New Roman" w:hAnsi="Times New Roman" w:cs="Times New Roman"/>
          <w:sz w:val="28"/>
          <w:szCs w:val="28"/>
        </w:rPr>
        <w:lastRenderedPageBreak/>
        <w:t>матеріали. Це допомагає візуалізувати техніку виконання вправ, показувати правильні рухи та помилки, що сприяє кращому засвоєнню матеріалу дітьми.</w:t>
      </w:r>
    </w:p>
    <w:p w14:paraId="6A044EA2" w14:textId="77777777" w:rsidR="0025671A" w:rsidRDefault="00D74137">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Відеодемонстрації</w:t>
      </w:r>
      <w:proofErr w:type="spellEnd"/>
      <w:r>
        <w:rPr>
          <w:rFonts w:ascii="Times New Roman" w:eastAsia="Times New Roman" w:hAnsi="Times New Roman" w:cs="Times New Roman"/>
          <w:sz w:val="28"/>
          <w:szCs w:val="28"/>
        </w:rPr>
        <w:t xml:space="preserve"> є ще одним важливим інструментом. Вчителі можуть використовувати відео для показу різних спортивних технік, вправ та тренувальних програм. Це дозволяє учням бачити приклади правильного виконання вправ, що особливо корисно для візуальних учнів. Відео також можуть бути використані для аналізу техніки виконання вправ учнями, що допомагає виявляти та виправляти помилки [25].</w:t>
      </w:r>
    </w:p>
    <w:p w14:paraId="424986A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Фітнес-додатки та програми також знаходять своє застосування у фізичному вихованні. Вони можуть включати інтерактивні тренування, які діти можуть виконувати під керівництвом віртуальних тренерів. Такі програми часто містять елементи </w:t>
      </w:r>
      <w:proofErr w:type="spellStart"/>
      <w:r>
        <w:rPr>
          <w:rFonts w:ascii="Times New Roman" w:eastAsia="Times New Roman" w:hAnsi="Times New Roman" w:cs="Times New Roman"/>
          <w:sz w:val="28"/>
          <w:szCs w:val="28"/>
        </w:rPr>
        <w:t>гейміфікації</w:t>
      </w:r>
      <w:proofErr w:type="spellEnd"/>
      <w:r>
        <w:rPr>
          <w:rFonts w:ascii="Times New Roman" w:eastAsia="Times New Roman" w:hAnsi="Times New Roman" w:cs="Times New Roman"/>
          <w:sz w:val="28"/>
          <w:szCs w:val="28"/>
        </w:rPr>
        <w:t>, що робить тренування більш захоплюючими та мотивуючими для дітей. Наприклад, додатки можуть надавати зворотний зв’язок у режимі реального часу, відстежувати прогрес та надавати рекомендації щодо покращення результатів [4].</w:t>
      </w:r>
    </w:p>
    <w:p w14:paraId="19BF7A6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Мультимедійні презентації є ще одним ефективним засобом. Вони можуть включати текст, зображення, відео та аудіо, що допомагає вчителям пояснювати складні концепції та техніки. Презентації можуть бути використані для підготовки до уроків, під час уроків для демонстрації матеріалу, а також для підсумкових занять.</w:t>
      </w:r>
    </w:p>
    <w:p w14:paraId="61C8858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Віртуальна реальність (VR) також знаходить своє застосування у фізичному вихованні. VR-тренажери можуть імітувати різні спортивні ситуації, що дозволяє дітям тренуватися в умовах, наближених до реальних змагань. Це сприяє розвитку координації, реакції та інших фізичних навичок.</w:t>
      </w:r>
      <w:r>
        <w:t xml:space="preserve"> </w:t>
      </w:r>
      <w:r>
        <w:rPr>
          <w:rFonts w:ascii="Times New Roman" w:eastAsia="Times New Roman" w:hAnsi="Times New Roman" w:cs="Times New Roman"/>
          <w:sz w:val="28"/>
          <w:szCs w:val="28"/>
        </w:rPr>
        <w:t>VR-тренажери здатні імітувати широкий спектр спортивних ситуацій, зокрема:</w:t>
      </w:r>
    </w:p>
    <w:p w14:paraId="64B8903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Баскетбол. VR-тренажери можуть створювати симуляції баскетбольних матчів, де діти можуть тренуватися в кидках м’яча, дриблінгу та захисті. Наприклад, програма </w:t>
      </w:r>
      <w:proofErr w:type="spellStart"/>
      <w:r>
        <w:rPr>
          <w:rFonts w:ascii="Times New Roman" w:eastAsia="Times New Roman" w:hAnsi="Times New Roman" w:cs="Times New Roman"/>
          <w:sz w:val="28"/>
          <w:szCs w:val="28"/>
        </w:rPr>
        <w:t>VireFit</w:t>
      </w:r>
      <w:proofErr w:type="spellEnd"/>
      <w:r>
        <w:rPr>
          <w:rFonts w:ascii="Times New Roman" w:eastAsia="Times New Roman" w:hAnsi="Times New Roman" w:cs="Times New Roman"/>
          <w:sz w:val="28"/>
          <w:szCs w:val="28"/>
        </w:rPr>
        <w:t xml:space="preserve"> пропонує режим гри, де потрібно ловити м’ячі та кидати їх у корзину певного кольору, що допомагає розвивати техніку, реакцію та концентрацію.</w:t>
      </w:r>
    </w:p>
    <w:p w14:paraId="17829DC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Теніс. У VR можна тренуватися в тенісі, відбиваючи м’ячі та ухиляючись від бомб. Це допомагає розвивати швидкість реакції, влучність та координацію. Такі тренування можуть бути середньої інтенсивності, що робить їх доступними для дітей молодшого шкільного віку.</w:t>
      </w:r>
    </w:p>
    <w:p w14:paraId="08EC7DF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Бокс. VR-тренажери можуть імітувати боксерські поєдинки, де діти можуть тренуватися в ударах, ухилянні та захисті. Віртуальний суперник підлаштовується під зріст, рівень підготовки та тактику гравця, що робить тренування інтенсивними та ефективними для розвитку боксерських навичок.</w:t>
      </w:r>
    </w:p>
    <w:p w14:paraId="73A8506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Політ. Система ICAROS дозволяє імітувати політ, що сприяє розвитку координації, балансу та м’язової витривалості. Діти можуть "літати" через різні віртуальні ландшафти, виконуючи завдання на точність та швидкість.</w:t>
      </w:r>
    </w:p>
    <w:p w14:paraId="1B22698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Футбол. VR-тренажери можуть імітувати футбольні матчі, де діти можуть тренуватися в ударах по м’ячу, пасах та захисті воріт. Це допомагає розвивати техніку гри, координацію та командну роботу.</w:t>
      </w:r>
    </w:p>
    <w:p w14:paraId="1237F4C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Лижний спорт. VR може імітувати спуски на лижах або сноуборді, що дозволяє дітям тренуватися в умовах, наближених до реальних гірських трас. Це сприяє розвитку балансу, координації та витривалості [17].</w:t>
      </w:r>
    </w:p>
    <w:p w14:paraId="07B5623D" w14:textId="77777777" w:rsidR="0025671A" w:rsidRDefault="0025671A">
      <w:pPr>
        <w:spacing w:after="0" w:line="360" w:lineRule="auto"/>
        <w:jc w:val="both"/>
        <w:rPr>
          <w:rFonts w:ascii="Times New Roman" w:eastAsia="Times New Roman" w:hAnsi="Times New Roman" w:cs="Times New Roman"/>
          <w:sz w:val="28"/>
          <w:szCs w:val="28"/>
        </w:rPr>
      </w:pPr>
    </w:p>
    <w:p w14:paraId="548674A2"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6" w:name="_tyjcwt" w:colFirst="0" w:colLast="0"/>
      <w:bookmarkEnd w:id="6"/>
      <w:r>
        <w:rPr>
          <w:rFonts w:ascii="Times New Roman" w:eastAsia="Times New Roman" w:hAnsi="Times New Roman" w:cs="Times New Roman"/>
          <w:b/>
          <w:color w:val="000000"/>
          <w:sz w:val="28"/>
          <w:szCs w:val="28"/>
        </w:rPr>
        <w:t>Висновки до розділу 1</w:t>
      </w:r>
    </w:p>
    <w:p w14:paraId="453546B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діти молодшого шкільного віку проходять через важливий етап психофізичного розвитку, який характеризується значними змінами в їхньому фізичному, когнітивному та емоційному стані. У цей період відбувається інтенсивний ріст і розвиток організму, що включає зміцнення кісткової та м’язової систем, а також розвиток моторики. Діти стають більш координованими, їхні рухи стають точнішими і впевненішими. Психологічно цей вік характеризується розвитком мислення, яке переходить від конкретно-образного до більш абстрактного. Діти починають розуміти причинно-наслідкові зв’язки, здатні до логічних міркувань і вирішення простих задач. Емоційний розвиток також зазнає змін: діти стають більш самостійними, у них формується почуття відповідальності та самоконтролю. Вони починають краще </w:t>
      </w:r>
      <w:r>
        <w:rPr>
          <w:rFonts w:ascii="Times New Roman" w:eastAsia="Times New Roman" w:hAnsi="Times New Roman" w:cs="Times New Roman"/>
          <w:sz w:val="28"/>
          <w:szCs w:val="28"/>
        </w:rPr>
        <w:lastRenderedPageBreak/>
        <w:t>розуміти і виражати свої емоції, а також розвивають здатність до емпатії. Соціально цей період важливий для формування навичок спілкування та взаємодії з однолітками і дорослими. Діти вчаться працювати в команді, розвивають навички співпраці та вирішення конфліктів. Важливу роль у цьому віці відіграє школа, яка стає основним середовищем для соціалізації та навчання. Учні засвоюють нові знання, розвивають пізнавальні інтереси та навички самостійного навчання. Важливо також зазначити, що в цей період діти дуже чутливі до оцінок і думок дорослих, що може впливати на їхню самооцінку та мотивацію до навчання.</w:t>
      </w:r>
    </w:p>
    <w:p w14:paraId="27E6A87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Інноваційні технології у фізичному вихованні значно підвищують ефективність навчального процесу та покращують здоров’я учнів. Використання інформаційних технологій, таких як фітнес-</w:t>
      </w:r>
      <w:proofErr w:type="spellStart"/>
      <w:r>
        <w:rPr>
          <w:rFonts w:ascii="Times New Roman" w:eastAsia="Times New Roman" w:hAnsi="Times New Roman" w:cs="Times New Roman"/>
          <w:sz w:val="28"/>
          <w:szCs w:val="28"/>
        </w:rPr>
        <w:t>трекери</w:t>
      </w:r>
      <w:proofErr w:type="spellEnd"/>
      <w:r>
        <w:rPr>
          <w:rFonts w:ascii="Times New Roman" w:eastAsia="Times New Roman" w:hAnsi="Times New Roman" w:cs="Times New Roman"/>
          <w:sz w:val="28"/>
          <w:szCs w:val="28"/>
        </w:rPr>
        <w:t xml:space="preserve"> та мобільні додатки, дозволяє детально </w:t>
      </w:r>
      <w:proofErr w:type="spellStart"/>
      <w:r>
        <w:rPr>
          <w:rFonts w:ascii="Times New Roman" w:eastAsia="Times New Roman" w:hAnsi="Times New Roman" w:cs="Times New Roman"/>
          <w:sz w:val="28"/>
          <w:szCs w:val="28"/>
        </w:rPr>
        <w:t>моніторити</w:t>
      </w:r>
      <w:proofErr w:type="spellEnd"/>
      <w:r>
        <w:rPr>
          <w:rFonts w:ascii="Times New Roman" w:eastAsia="Times New Roman" w:hAnsi="Times New Roman" w:cs="Times New Roman"/>
          <w:sz w:val="28"/>
          <w:szCs w:val="28"/>
        </w:rPr>
        <w:t xml:space="preserve"> фізичну активність. Оздоровчі програми, включаючи йогу та </w:t>
      </w:r>
      <w:proofErr w:type="spellStart"/>
      <w:r>
        <w:rPr>
          <w:rFonts w:ascii="Times New Roman" w:eastAsia="Times New Roman" w:hAnsi="Times New Roman" w:cs="Times New Roman"/>
          <w:sz w:val="28"/>
          <w:szCs w:val="28"/>
        </w:rPr>
        <w:t>пілатес</w:t>
      </w:r>
      <w:proofErr w:type="spellEnd"/>
      <w:r>
        <w:rPr>
          <w:rFonts w:ascii="Times New Roman" w:eastAsia="Times New Roman" w:hAnsi="Times New Roman" w:cs="Times New Roman"/>
          <w:sz w:val="28"/>
          <w:szCs w:val="28"/>
        </w:rPr>
        <w:t>, сприяють загальному зміцненню здоров’я. Сучасні методики тренувань, такі як інтервальні тренування, допомагають досягати кращих результатів. Індивідуалізація підходу та наукова обґрунтованість методик забезпечують гармонійний розвиток учнів.</w:t>
      </w:r>
    </w:p>
    <w:p w14:paraId="56DA53E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Інноваційні технології у фізичному вихованні для дітей молодшого шкільного віку включають інтерактивні ігри та програми, які використовують елементи </w:t>
      </w:r>
      <w:proofErr w:type="spellStart"/>
      <w:r>
        <w:rPr>
          <w:rFonts w:ascii="Times New Roman" w:eastAsia="Times New Roman" w:hAnsi="Times New Roman" w:cs="Times New Roman"/>
          <w:sz w:val="28"/>
          <w:szCs w:val="28"/>
        </w:rPr>
        <w:t>гейміфікації</w:t>
      </w:r>
      <w:proofErr w:type="spellEnd"/>
      <w:r>
        <w:rPr>
          <w:rFonts w:ascii="Times New Roman" w:eastAsia="Times New Roman" w:hAnsi="Times New Roman" w:cs="Times New Roman"/>
          <w:sz w:val="28"/>
          <w:szCs w:val="28"/>
        </w:rPr>
        <w:t xml:space="preserve"> для залучення дітей до фізичної активності. Програми на основі доповненої реальності (AR) дозволяють дітям виконувати вправи, слідуючи за віртуальними персонажами або об’єктами, що робить процес тренувань більш захоплюючим та цікавим. Використання сенсорних пристроїв, таких як фітнес-</w:t>
      </w:r>
      <w:proofErr w:type="spellStart"/>
      <w:r>
        <w:rPr>
          <w:rFonts w:ascii="Times New Roman" w:eastAsia="Times New Roman" w:hAnsi="Times New Roman" w:cs="Times New Roman"/>
          <w:sz w:val="28"/>
          <w:szCs w:val="28"/>
        </w:rPr>
        <w:t>трекери</w:t>
      </w:r>
      <w:proofErr w:type="spellEnd"/>
      <w:r>
        <w:rPr>
          <w:rFonts w:ascii="Times New Roman" w:eastAsia="Times New Roman" w:hAnsi="Times New Roman" w:cs="Times New Roman"/>
          <w:sz w:val="28"/>
          <w:szCs w:val="28"/>
        </w:rPr>
        <w:t xml:space="preserve">, допомагає відстежувати фізичну активність дітей, їхній пульс, кількість кроків та витрачені калорії. Інтерактивні дошки та мультимедійні засоби використовуються для проведення уроків фізичної культури, де діти можуть дивитися навчальні відео, виконувати вправи під музику або слідкувати за інструкціями віртуальних тренерів. Віртуальна реальність (VR) також знаходить своє застосування у фізичному вихованні, </w:t>
      </w:r>
      <w:r>
        <w:rPr>
          <w:rFonts w:ascii="Times New Roman" w:eastAsia="Times New Roman" w:hAnsi="Times New Roman" w:cs="Times New Roman"/>
          <w:sz w:val="28"/>
          <w:szCs w:val="28"/>
        </w:rPr>
        <w:lastRenderedPageBreak/>
        <w:t>імітуючи різні спортивні ситуації, що дозволяє дітям тренуватися в умовах, наближених до реальних змагань.</w:t>
      </w:r>
    </w:p>
    <w:p w14:paraId="10D15089" w14:textId="77777777" w:rsidR="0025671A" w:rsidRDefault="0025671A">
      <w:pPr>
        <w:pStyle w:val="1"/>
        <w:spacing w:before="0" w:line="360" w:lineRule="auto"/>
        <w:jc w:val="center"/>
        <w:rPr>
          <w:rFonts w:ascii="Times New Roman" w:eastAsia="Times New Roman" w:hAnsi="Times New Roman" w:cs="Times New Roman"/>
          <w:b/>
          <w:smallCaps/>
          <w:color w:val="000000"/>
          <w:sz w:val="28"/>
          <w:szCs w:val="28"/>
        </w:rPr>
      </w:pPr>
      <w:bookmarkStart w:id="7" w:name="_3dy6vkm" w:colFirst="0" w:colLast="0"/>
      <w:bookmarkEnd w:id="7"/>
    </w:p>
    <w:p w14:paraId="490B512A" w14:textId="77777777" w:rsidR="0025671A" w:rsidRDefault="0025671A">
      <w:pPr>
        <w:pStyle w:val="1"/>
        <w:spacing w:before="0" w:line="360" w:lineRule="auto"/>
        <w:jc w:val="center"/>
        <w:rPr>
          <w:rFonts w:ascii="Times New Roman" w:eastAsia="Times New Roman" w:hAnsi="Times New Roman" w:cs="Times New Roman"/>
          <w:b/>
          <w:smallCaps/>
          <w:color w:val="000000"/>
          <w:sz w:val="28"/>
          <w:szCs w:val="28"/>
        </w:rPr>
      </w:pPr>
    </w:p>
    <w:p w14:paraId="52359757" w14:textId="77777777" w:rsidR="0025671A" w:rsidRDefault="0025671A">
      <w:pPr>
        <w:pStyle w:val="1"/>
        <w:spacing w:before="0" w:line="360" w:lineRule="auto"/>
        <w:rPr>
          <w:rFonts w:ascii="Times New Roman" w:eastAsia="Times New Roman" w:hAnsi="Times New Roman" w:cs="Times New Roman"/>
          <w:b/>
          <w:smallCaps/>
          <w:color w:val="000000"/>
          <w:sz w:val="28"/>
          <w:szCs w:val="28"/>
        </w:rPr>
      </w:pPr>
    </w:p>
    <w:p w14:paraId="6CFBD1B3" w14:textId="77777777" w:rsidR="0025671A" w:rsidRDefault="0025671A"/>
    <w:p w14:paraId="13A8ABDA" w14:textId="77777777" w:rsidR="0025671A" w:rsidRDefault="0025671A"/>
    <w:p w14:paraId="48D58C5B" w14:textId="77777777" w:rsidR="0025671A" w:rsidRDefault="0025671A"/>
    <w:p w14:paraId="437667CF" w14:textId="77777777" w:rsidR="0025671A" w:rsidRDefault="0025671A"/>
    <w:p w14:paraId="3079477E" w14:textId="77777777" w:rsidR="0025671A" w:rsidRDefault="0025671A"/>
    <w:p w14:paraId="37B877B4" w14:textId="77777777" w:rsidR="0025671A" w:rsidRDefault="0025671A"/>
    <w:p w14:paraId="3AD50072" w14:textId="77777777" w:rsidR="0025671A" w:rsidRDefault="0025671A"/>
    <w:p w14:paraId="187ED6E7" w14:textId="77777777" w:rsidR="0025671A" w:rsidRDefault="0025671A"/>
    <w:p w14:paraId="55072C51" w14:textId="77777777" w:rsidR="0025671A" w:rsidRDefault="0025671A"/>
    <w:p w14:paraId="0F3BF572" w14:textId="77777777" w:rsidR="0025671A" w:rsidRDefault="0025671A"/>
    <w:p w14:paraId="0A43DDF9" w14:textId="77777777" w:rsidR="0025671A" w:rsidRDefault="0025671A"/>
    <w:p w14:paraId="68A75ED7" w14:textId="77777777" w:rsidR="0025671A" w:rsidRDefault="0025671A"/>
    <w:p w14:paraId="77EE3F96" w14:textId="77777777" w:rsidR="0025671A" w:rsidRDefault="0025671A"/>
    <w:p w14:paraId="0A0A4366" w14:textId="77777777" w:rsidR="0025671A" w:rsidRDefault="0025671A"/>
    <w:p w14:paraId="46C854BB" w14:textId="77777777" w:rsidR="0025671A" w:rsidRDefault="0025671A"/>
    <w:p w14:paraId="0E675803" w14:textId="77777777" w:rsidR="0025671A" w:rsidRDefault="0025671A"/>
    <w:p w14:paraId="2DA828E8" w14:textId="77777777" w:rsidR="0025671A" w:rsidRDefault="0025671A"/>
    <w:p w14:paraId="27362081" w14:textId="77777777" w:rsidR="0025671A" w:rsidRDefault="0025671A"/>
    <w:p w14:paraId="6289AEA2" w14:textId="77777777" w:rsidR="0025671A" w:rsidRDefault="0025671A"/>
    <w:p w14:paraId="56FD586A" w14:textId="77777777" w:rsidR="0025671A" w:rsidRDefault="0025671A"/>
    <w:p w14:paraId="5035B2FF" w14:textId="77777777" w:rsidR="0025671A" w:rsidRDefault="0025671A"/>
    <w:p w14:paraId="3720CE55" w14:textId="77777777" w:rsidR="0025671A" w:rsidRDefault="0025671A"/>
    <w:p w14:paraId="009869BA" w14:textId="77777777" w:rsidR="0025671A" w:rsidRDefault="0025671A"/>
    <w:p w14:paraId="721CA5B0" w14:textId="77777777" w:rsidR="0025671A" w:rsidRDefault="0025671A"/>
    <w:p w14:paraId="500D35B7" w14:textId="77777777" w:rsidR="0025671A" w:rsidRDefault="0025671A"/>
    <w:p w14:paraId="25D29EB3" w14:textId="77777777" w:rsidR="0025671A" w:rsidRDefault="00D74137">
      <w:pPr>
        <w:pStyle w:val="1"/>
        <w:spacing w:before="0" w:line="360" w:lineRule="auto"/>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lastRenderedPageBreak/>
        <w:t>РОЗДІЛ 2</w:t>
      </w:r>
    </w:p>
    <w:p w14:paraId="1C1EFE1D" w14:textId="77777777" w:rsidR="0025671A" w:rsidRDefault="00D74137">
      <w:pPr>
        <w:pStyle w:val="1"/>
        <w:spacing w:before="0" w:line="360" w:lineRule="auto"/>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t>МЕТОДИ ТА ОРГАНІЗАЦІЯ ДОСЛІДЖЕННЯ</w:t>
      </w:r>
    </w:p>
    <w:p w14:paraId="6C076424" w14:textId="77777777" w:rsidR="0025671A" w:rsidRDefault="00D74137">
      <w:pPr>
        <w:pStyle w:val="1"/>
        <w:spacing w:before="0" w:line="360" w:lineRule="auto"/>
        <w:ind w:firstLine="709"/>
        <w:rPr>
          <w:rFonts w:ascii="Times New Roman" w:eastAsia="Times New Roman" w:hAnsi="Times New Roman" w:cs="Times New Roman"/>
          <w:b/>
          <w:color w:val="000000"/>
          <w:sz w:val="28"/>
          <w:szCs w:val="28"/>
        </w:rPr>
      </w:pPr>
      <w:bookmarkStart w:id="8" w:name="_1t3h5sf" w:colFirst="0" w:colLast="0"/>
      <w:bookmarkEnd w:id="8"/>
      <w:r>
        <w:rPr>
          <w:rFonts w:ascii="Times New Roman" w:eastAsia="Times New Roman" w:hAnsi="Times New Roman" w:cs="Times New Roman"/>
          <w:b/>
          <w:smallCaps/>
          <w:color w:val="000000"/>
          <w:sz w:val="28"/>
          <w:szCs w:val="28"/>
        </w:rPr>
        <w:t>2.1. М</w:t>
      </w:r>
      <w:r>
        <w:rPr>
          <w:rFonts w:ascii="Times New Roman" w:eastAsia="Times New Roman" w:hAnsi="Times New Roman" w:cs="Times New Roman"/>
          <w:b/>
          <w:color w:val="000000"/>
          <w:sz w:val="28"/>
          <w:szCs w:val="28"/>
        </w:rPr>
        <w:t>етоди дослідження</w:t>
      </w:r>
    </w:p>
    <w:p w14:paraId="7299AF76" w14:textId="77777777" w:rsidR="0025671A" w:rsidRDefault="00D74137">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поставленої мети і вирішення завдань дослідження нами було використано наступні методи дослідження:</w:t>
      </w:r>
    </w:p>
    <w:p w14:paraId="0CED41C6" w14:textId="77777777" w:rsidR="0025671A" w:rsidRDefault="00D74137">
      <w:pPr>
        <w:tabs>
          <w:tab w:val="left" w:pos="851"/>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теоретичний аналіз, узагальнення і систематизація даних наукової та методичної літератури;</w:t>
      </w:r>
    </w:p>
    <w:p w14:paraId="0500FECF" w14:textId="77777777" w:rsidR="0025671A" w:rsidRDefault="00D74137">
      <w:pPr>
        <w:tabs>
          <w:tab w:val="left" w:pos="851"/>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антропометричні методи;</w:t>
      </w:r>
    </w:p>
    <w:p w14:paraId="123BEF51" w14:textId="77777777" w:rsidR="0025671A" w:rsidRDefault="00D74137">
      <w:pPr>
        <w:tabs>
          <w:tab w:val="left" w:pos="851"/>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фізіологічні методи дослідження (</w:t>
      </w:r>
      <w:proofErr w:type="spellStart"/>
      <w:r>
        <w:rPr>
          <w:rFonts w:ascii="Times New Roman" w:eastAsia="Times New Roman" w:hAnsi="Times New Roman" w:cs="Times New Roman"/>
          <w:sz w:val="28"/>
          <w:szCs w:val="28"/>
        </w:rPr>
        <w:t>тонометрія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пульсометрія</w:t>
      </w:r>
      <w:proofErr w:type="spellEnd"/>
      <w:r>
        <w:rPr>
          <w:rFonts w:ascii="Times New Roman" w:eastAsia="Times New Roman" w:hAnsi="Times New Roman" w:cs="Times New Roman"/>
          <w:sz w:val="28"/>
          <w:szCs w:val="28"/>
        </w:rPr>
        <w:t>, спірометрія);</w:t>
      </w:r>
    </w:p>
    <w:p w14:paraId="2058BF09" w14:textId="77777777" w:rsidR="0025671A" w:rsidRDefault="00D74137">
      <w:pPr>
        <w:tabs>
          <w:tab w:val="left" w:pos="851"/>
        </w:tabs>
        <w:spacing w:after="0" w:line="360" w:lineRule="auto"/>
        <w:ind w:right="-144"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педагогічні методи;</w:t>
      </w:r>
    </w:p>
    <w:p w14:paraId="07A57020" w14:textId="77777777" w:rsidR="0025671A" w:rsidRDefault="00D74137">
      <w:pPr>
        <w:tabs>
          <w:tab w:val="left" w:pos="851"/>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статистичні методи обробки отриманих результатів.</w:t>
      </w:r>
    </w:p>
    <w:p w14:paraId="70CB2369" w14:textId="77777777" w:rsidR="0025671A" w:rsidRDefault="0025671A"/>
    <w:p w14:paraId="3C1A5E4B"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9" w:name="_4d34og8" w:colFirst="0" w:colLast="0"/>
      <w:bookmarkEnd w:id="9"/>
      <w:r>
        <w:rPr>
          <w:rFonts w:ascii="Times New Roman" w:eastAsia="Times New Roman" w:hAnsi="Times New Roman" w:cs="Times New Roman"/>
          <w:b/>
          <w:color w:val="000000"/>
          <w:sz w:val="28"/>
          <w:szCs w:val="28"/>
        </w:rPr>
        <w:t>2.1.1. Теоретичний аналіз і узагальнення літературних джерел</w:t>
      </w:r>
    </w:p>
    <w:p w14:paraId="5AA0337E"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розглянути психологічні та педагогічні основи ігрової діяльності, які закладені в працях таких дослідників, як Л. С. Виготський, який підкреслював значення гри для розвитку дитини, та Д. Б. Ельконін, який розробив теорію рольової гри. Ці дослідження показують, що гра є важливим засобом соціалізації та розвитку когнітивних навичок у дітей. Слід також звернути увагу на сучасні підходи до фізичного виховання, які включають використання інноваційних технологій, таких як інтерактивні ігри, віртуальна реальність та мобільні додатки. Ці технології дозволяють зробити процес фізичного виховання більш цікавим та мотивуючим для дітей, що сприяє їх активній участі та розвитку фізичних навичок [28].</w:t>
      </w:r>
    </w:p>
    <w:p w14:paraId="4EE45738"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галузі фізичного виховання та організації ігрової та змагальної діяльності дітей молодшого шкільного віку є багато видатних дослідників з Америки та Європи, зокрема Дж. </w:t>
      </w:r>
      <w:proofErr w:type="spellStart"/>
      <w:r>
        <w:rPr>
          <w:rFonts w:ascii="Times New Roman" w:eastAsia="Times New Roman" w:hAnsi="Times New Roman" w:cs="Times New Roman"/>
          <w:sz w:val="28"/>
          <w:szCs w:val="28"/>
        </w:rPr>
        <w:t>Салліс</w:t>
      </w:r>
      <w:proofErr w:type="spellEnd"/>
      <w:r>
        <w:rPr>
          <w:rFonts w:ascii="Times New Roman" w:eastAsia="Times New Roman" w:hAnsi="Times New Roman" w:cs="Times New Roman"/>
          <w:sz w:val="28"/>
          <w:szCs w:val="28"/>
        </w:rPr>
        <w:t xml:space="preserve"> – відомий своїми дослідженнями у сфері фізичної активності та здоров’я дітей. Він розробив багато програм, спрямованих на підвищення рівня фізичної активності серед дітей, Чарльз Х. </w:t>
      </w:r>
      <w:proofErr w:type="spellStart"/>
      <w:r>
        <w:rPr>
          <w:rFonts w:ascii="Times New Roman" w:eastAsia="Times New Roman" w:hAnsi="Times New Roman" w:cs="Times New Roman"/>
          <w:sz w:val="28"/>
          <w:szCs w:val="28"/>
        </w:rPr>
        <w:t>МакКлоускі</w:t>
      </w:r>
      <w:proofErr w:type="spellEnd"/>
      <w:r>
        <w:rPr>
          <w:rFonts w:ascii="Times New Roman" w:eastAsia="Times New Roman" w:hAnsi="Times New Roman" w:cs="Times New Roman"/>
          <w:sz w:val="28"/>
          <w:szCs w:val="28"/>
        </w:rPr>
        <w:t xml:space="preserve"> – його роботи зосереджені на фізичному вихованні та спортивній психології, зокрема на мотивації дітей до занять спортом, Дж. </w:t>
      </w:r>
      <w:proofErr w:type="spellStart"/>
      <w:r>
        <w:rPr>
          <w:rFonts w:ascii="Times New Roman" w:eastAsia="Times New Roman" w:hAnsi="Times New Roman" w:cs="Times New Roman"/>
          <w:sz w:val="28"/>
          <w:szCs w:val="28"/>
        </w:rPr>
        <w:t>Рейтц</w:t>
      </w:r>
      <w:proofErr w:type="spellEnd"/>
      <w:r>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lastRenderedPageBreak/>
        <w:t>досліджує вплив фізичної активності на когнітивний розвиток дітей, а також розробляє інноваційні методи фізичного виховання [9].</w:t>
      </w:r>
    </w:p>
    <w:p w14:paraId="28F2CF25"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європейських дослідників доцільно виділити Клауса Рота (Німеччина) – спеціалізується на педагогіці фізичного виховання та розробці навчальних програм для дітей. Його дослідження включають аналіз ефективності різних методів фізичного виховання. Мартін Р. </w:t>
      </w:r>
      <w:proofErr w:type="spellStart"/>
      <w:r>
        <w:rPr>
          <w:rFonts w:ascii="Times New Roman" w:eastAsia="Times New Roman" w:hAnsi="Times New Roman" w:cs="Times New Roman"/>
          <w:sz w:val="28"/>
          <w:szCs w:val="28"/>
        </w:rPr>
        <w:t>Хагер</w:t>
      </w:r>
      <w:proofErr w:type="spellEnd"/>
      <w:r>
        <w:rPr>
          <w:rFonts w:ascii="Times New Roman" w:eastAsia="Times New Roman" w:hAnsi="Times New Roman" w:cs="Times New Roman"/>
          <w:sz w:val="28"/>
          <w:szCs w:val="28"/>
        </w:rPr>
        <w:t xml:space="preserve"> (Великобританія) – відомий своїми роботами у сфері спортивної психології та мотивації дітей до занять спортом. Він також досліджує вплив фізичної активності на психічне здоров’я дітей. </w:t>
      </w:r>
      <w:proofErr w:type="spellStart"/>
      <w:r>
        <w:rPr>
          <w:rFonts w:ascii="Times New Roman" w:eastAsia="Times New Roman" w:hAnsi="Times New Roman" w:cs="Times New Roman"/>
          <w:sz w:val="28"/>
          <w:szCs w:val="28"/>
        </w:rPr>
        <w:t>Франческо</w:t>
      </w:r>
      <w:proofErr w:type="spellEnd"/>
      <w:r>
        <w:rPr>
          <w:rFonts w:ascii="Times New Roman" w:eastAsia="Times New Roman" w:hAnsi="Times New Roman" w:cs="Times New Roman"/>
          <w:sz w:val="28"/>
          <w:szCs w:val="28"/>
        </w:rPr>
        <w:t xml:space="preserve"> Бруно (Італія) – його дослідження зосереджені на використанні інноваційних технологій у фізичному вихованні, таких як інтерактивні ігри та віртуальна реальність [24].</w:t>
      </w:r>
    </w:p>
    <w:p w14:paraId="06018314"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цій галузі працює багато видатних сучасних дослідників, які зробили значний внесок у розвиток теорії та практики фізичного виховання. Н. </w:t>
      </w:r>
      <w:proofErr w:type="spellStart"/>
      <w:r>
        <w:rPr>
          <w:rFonts w:ascii="Times New Roman" w:eastAsia="Times New Roman" w:hAnsi="Times New Roman" w:cs="Times New Roman"/>
          <w:sz w:val="28"/>
          <w:szCs w:val="28"/>
        </w:rPr>
        <w:t>Деделюк</w:t>
      </w:r>
      <w:proofErr w:type="spellEnd"/>
      <w:r>
        <w:rPr>
          <w:rFonts w:ascii="Times New Roman" w:eastAsia="Times New Roman" w:hAnsi="Times New Roman" w:cs="Times New Roman"/>
          <w:sz w:val="28"/>
          <w:szCs w:val="28"/>
        </w:rPr>
        <w:t xml:space="preserve"> – авторка навчального посібника «Наукові методи дослідження у фізичному вихованні», де розглядаються основні теоретичні та практичні питання науково-дослідної діяльності у фізичному вихованні. О. </w:t>
      </w:r>
      <w:proofErr w:type="spellStart"/>
      <w:r>
        <w:rPr>
          <w:rFonts w:ascii="Times New Roman" w:eastAsia="Times New Roman" w:hAnsi="Times New Roman" w:cs="Times New Roman"/>
          <w:sz w:val="28"/>
          <w:szCs w:val="28"/>
        </w:rPr>
        <w:t>Ажиппо</w:t>
      </w:r>
      <w:proofErr w:type="spellEnd"/>
      <w:r>
        <w:rPr>
          <w:rFonts w:ascii="Times New Roman" w:eastAsia="Times New Roman" w:hAnsi="Times New Roman" w:cs="Times New Roman"/>
          <w:sz w:val="28"/>
          <w:szCs w:val="28"/>
        </w:rPr>
        <w:t xml:space="preserve"> – доктор педагогічних наук, професор, який досліджує актуальні проблеми фізичного виховання різних верств населення. В. </w:t>
      </w:r>
      <w:proofErr w:type="spellStart"/>
      <w:r>
        <w:rPr>
          <w:rFonts w:ascii="Times New Roman" w:eastAsia="Times New Roman" w:hAnsi="Times New Roman" w:cs="Times New Roman"/>
          <w:sz w:val="28"/>
          <w:szCs w:val="28"/>
        </w:rPr>
        <w:t>Букаєв</w:t>
      </w:r>
      <w:proofErr w:type="spellEnd"/>
      <w:r>
        <w:rPr>
          <w:rFonts w:ascii="Times New Roman" w:eastAsia="Times New Roman" w:hAnsi="Times New Roman" w:cs="Times New Roman"/>
          <w:sz w:val="28"/>
          <w:szCs w:val="28"/>
        </w:rPr>
        <w:t xml:space="preserve"> – автор численних робіт з проблем фізичного виховання, спорту та здоров’я людини, зокрема матеріалів міжнародних конференцій. І. </w:t>
      </w:r>
      <w:proofErr w:type="spellStart"/>
      <w:r>
        <w:rPr>
          <w:rFonts w:ascii="Times New Roman" w:eastAsia="Times New Roman" w:hAnsi="Times New Roman" w:cs="Times New Roman"/>
          <w:sz w:val="28"/>
          <w:szCs w:val="28"/>
        </w:rPr>
        <w:t>Ганчар</w:t>
      </w:r>
      <w:proofErr w:type="spellEnd"/>
      <w:r>
        <w:rPr>
          <w:rFonts w:ascii="Times New Roman" w:eastAsia="Times New Roman" w:hAnsi="Times New Roman" w:cs="Times New Roman"/>
          <w:sz w:val="28"/>
          <w:szCs w:val="28"/>
        </w:rPr>
        <w:t xml:space="preserve"> – доктор педагогічних наук, професор, який досліджує сучасні проблеми фізичного виховання та спортивної діяльності. О. Ігнатенко кандидат педагогічних наук, доцент кафедри теорії і методики фізичної культури та спортивних дисциплін, авторка робіт з організації фізичного виховання. </w:t>
      </w:r>
    </w:p>
    <w:p w14:paraId="030E586E"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дослідники зробили значний внесок у розвиток методик фізичного виховання та організації ігрової діяльності дітей, що дозволяє підвищити ефективність навчального процесу та сприяти всебічному розвитку дітей.</w:t>
      </w:r>
    </w:p>
    <w:p w14:paraId="58633659" w14:textId="77777777" w:rsidR="0025671A" w:rsidRDefault="0025671A">
      <w:pPr>
        <w:tabs>
          <w:tab w:val="left" w:pos="1095"/>
        </w:tabs>
        <w:spacing w:after="0" w:line="360" w:lineRule="auto"/>
        <w:ind w:firstLine="709"/>
        <w:jc w:val="both"/>
        <w:rPr>
          <w:rFonts w:ascii="Times New Roman" w:eastAsia="Times New Roman" w:hAnsi="Times New Roman" w:cs="Times New Roman"/>
          <w:sz w:val="28"/>
          <w:szCs w:val="28"/>
        </w:rPr>
      </w:pPr>
    </w:p>
    <w:p w14:paraId="7128CBA0"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10" w:name="_2s8eyo1" w:colFirst="0" w:colLast="0"/>
      <w:bookmarkEnd w:id="10"/>
      <w:r>
        <w:rPr>
          <w:rFonts w:ascii="Times New Roman" w:eastAsia="Times New Roman" w:hAnsi="Times New Roman" w:cs="Times New Roman"/>
          <w:b/>
          <w:color w:val="000000"/>
          <w:sz w:val="28"/>
          <w:szCs w:val="28"/>
        </w:rPr>
        <w:lastRenderedPageBreak/>
        <w:t>2.1.2. Антропометричні методи дослідження</w:t>
      </w:r>
    </w:p>
    <w:p w14:paraId="45189B0E"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наукового та практичного вирішення питання організації ігрової та змагальної діяльності дітей молодшого шкільного віку засобами інноваційних технологій фізичного виховання було здійснено оцінку найпростіших антропометричних показників – маси тіла, росту, окружності грудної клітки.</w:t>
      </w:r>
      <w:r>
        <w:t xml:space="preserve"> </w:t>
      </w:r>
      <w:r>
        <w:rPr>
          <w:rFonts w:ascii="Times New Roman" w:eastAsia="Times New Roman" w:hAnsi="Times New Roman" w:cs="Times New Roman"/>
          <w:sz w:val="28"/>
          <w:szCs w:val="28"/>
        </w:rPr>
        <w:t>Антропометричні методи дослідження – це наукові методи, які використовуються для вимірювання розмірів і пропорцій людського тіла. Вони включають вимірювання таких параметрів, як зріст, вага, довжина кінцівок, обхват грудей, талії, стегон та інших частин тіла. Ці методи дозволяють вивчати фізичні характеристики людей, визначати вікові, статеві, расові та інші особливості будови тіла.</w:t>
      </w:r>
    </w:p>
    <w:p w14:paraId="5C015182"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Антропометричні дослідження можуть бути контактними, де вимірювання проводяться за допомогою спеціальних інструментів, таких як антропометри, циркулі та стрічки, або безконтактними, де використовуються методи дистанційного вимірювання, наприклад, фотографії або сканування. Ці методи широко застосовуються в медицині, спортивній науці, ергономіці, антропології та інших галузях для оцінки фізичного розвитку, планування тренувань, розробки одягу та обладнання, а також для наукових досліджень [3].</w:t>
      </w:r>
    </w:p>
    <w:p w14:paraId="39A0D7DF"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проведення антропометричних досліджень дітей молодшого шкільного було дотримано наступні вимоги, які забезпечують не тільки точність результатів, а й можливість їх порівняння:</w:t>
      </w:r>
    </w:p>
    <w:p w14:paraId="6A865236"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дослідження повинні проводитися в один і той же час доби – о 12.00 дня;</w:t>
      </w:r>
    </w:p>
    <w:p w14:paraId="3E0CD768"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ділянки тіла, на яких проводяться виміри, мають бути повністю оголені;</w:t>
      </w:r>
    </w:p>
    <w:p w14:paraId="0DB078F1"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випробуваний стоїть на жорсткому рівному майданчику в тонких шкарпетках;</w:t>
      </w:r>
    </w:p>
    <w:p w14:paraId="461C65F4"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температура у приміщенні, де проводяться дослідження не нижче 18-20 градусів.</w:t>
      </w:r>
    </w:p>
    <w:p w14:paraId="4A802884"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дослідження було забезпечено сталість пози досліджуваного: стоячи, тулуб випрямлено, руки вільно опущені, коліна випрямлені, п’яти </w:t>
      </w:r>
      <w:r>
        <w:rPr>
          <w:rFonts w:ascii="Times New Roman" w:eastAsia="Times New Roman" w:hAnsi="Times New Roman" w:cs="Times New Roman"/>
          <w:sz w:val="28"/>
          <w:szCs w:val="28"/>
        </w:rPr>
        <w:lastRenderedPageBreak/>
        <w:t>зближені, носки злегка розведені вбік, живіт дещо підібраний, голова в положенні очно-вушної горизонталі [35].</w:t>
      </w:r>
    </w:p>
    <w:p w14:paraId="319F38DB"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Забезпечення сталість пози досліджуваного під час антропометричних досліджень є важливим з кількох причин. По-перше, це дозволяє отримати точні та надійні вимірювання. Якщо поза досліджуваного змінюється, це може вплинути на результати вимірювань, що призведе до похибок і неточностей. Наприклад, навіть невелика зміна положення тіла може змінити вимірювання обхвату грудей або довжини кінцівок.</w:t>
      </w:r>
    </w:p>
    <w:p w14:paraId="4454E86C"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сталість пози забезпечує порівнянність результатів. Якщо дослідження проводиться в різний час або різними дослідниками, сталість пози дозволяє порівнювати результати між собою. Це особливо важливо для довготривалих досліджень, де необхідно відстежувати зміни фізичних параметрів протягом часу.</w:t>
      </w:r>
    </w:p>
    <w:p w14:paraId="0865604A"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сталість пози допомагає уникнути дискомфорту або травм у досліджуваних. Правильне положення тіла зменшує ризик виникнення напруги або болю під час вимірювань, що особливо важливо для дітей або людей з обмеженими фізичними можливостями [40].</w:t>
      </w:r>
    </w:p>
    <w:p w14:paraId="342B9D52"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забезпечення сталість пози досліджуваного є ключовим аспектом для отримання точних, надійних та порівнянних результатів у антропометричних дослідженнях.</w:t>
      </w:r>
    </w:p>
    <w:p w14:paraId="083F339A"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дотримано точність вимірювань. Межі допустимих відмінностей не перевищували 2-3 мм при двократних або трикратних вимірах (для довжини тіла допускається різницю між двома вимірами 4 мм). У протоколи дослідження занесено середню величину з найближчих результатів виміру.</w:t>
      </w:r>
    </w:p>
    <w:p w14:paraId="7BAB4221"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початок проведення дослідження біли розроблені програма вимірювань та форма протокольних записів, куди заносилися результати обстеження.</w:t>
      </w:r>
    </w:p>
    <w:p w14:paraId="7414EC1D"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проведено стандартним вивіреним інструментарієм. До інструментарію антропометричного дослідження належать:</w:t>
      </w:r>
    </w:p>
    <w:p w14:paraId="61B305C0"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металевий штанговий антропометр системи Мартіна;</w:t>
      </w:r>
    </w:p>
    <w:p w14:paraId="2BF08246"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дерев’яний станковий ростомір;</w:t>
      </w:r>
    </w:p>
    <w:p w14:paraId="44C28402"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великий і малий товсті циркулі;</w:t>
      </w:r>
    </w:p>
    <w:p w14:paraId="754F0CA0"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ковзний циркуль;</w:t>
      </w:r>
    </w:p>
    <w:p w14:paraId="74A45666"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міліметрові (металеві, полотняні або прогумовані) стрічки завдовжки до 1,5-2 м;</w:t>
      </w:r>
    </w:p>
    <w:p w14:paraId="5F93860E"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ваги медичні з точністю виміру до 50 г;</w:t>
      </w:r>
    </w:p>
    <w:p w14:paraId="398AC2CB"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каліпер</w:t>
      </w:r>
      <w:proofErr w:type="spellEnd"/>
      <w:r>
        <w:rPr>
          <w:rFonts w:ascii="Times New Roman" w:eastAsia="Times New Roman" w:hAnsi="Times New Roman" w:cs="Times New Roman"/>
          <w:sz w:val="28"/>
          <w:szCs w:val="28"/>
        </w:rPr>
        <w:t xml:space="preserve"> – для визначення товщини шкірно-жирової складки;</w:t>
      </w:r>
    </w:p>
    <w:p w14:paraId="1B5FBB51"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динамометри – кистьовий, становий;</w:t>
      </w:r>
    </w:p>
    <w:p w14:paraId="42A1D689"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гоніометри – вимірювання рухливості суглобів виявлення можливих рухових проблем та вибору методів відновлювальної терапії;</w:t>
      </w:r>
    </w:p>
    <w:p w14:paraId="55B023E1"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стопоміри</w:t>
      </w:r>
      <w:proofErr w:type="spellEnd"/>
      <w:r>
        <w:rPr>
          <w:rFonts w:ascii="Times New Roman" w:eastAsia="Times New Roman" w:hAnsi="Times New Roman" w:cs="Times New Roman"/>
          <w:sz w:val="28"/>
          <w:szCs w:val="28"/>
        </w:rPr>
        <w:t>-антропометричний прилад для вимірювання стопи;</w:t>
      </w:r>
    </w:p>
    <w:p w14:paraId="615D4DF8"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тонометр – для вимірювання артеріального тиску.</w:t>
      </w:r>
    </w:p>
    <w:p w14:paraId="53851E20"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підставі зроблених вимірів було обчислено індекси маси тіла </w:t>
      </w:r>
      <w:proofErr w:type="spellStart"/>
      <w:r>
        <w:rPr>
          <w:rFonts w:ascii="Times New Roman" w:eastAsia="Times New Roman" w:hAnsi="Times New Roman" w:cs="Times New Roman"/>
          <w:sz w:val="28"/>
          <w:szCs w:val="28"/>
        </w:rPr>
        <w:t>Кетле</w:t>
      </w:r>
      <w:proofErr w:type="spellEnd"/>
      <w:r>
        <w:rPr>
          <w:rFonts w:ascii="Times New Roman" w:eastAsia="Times New Roman" w:hAnsi="Times New Roman" w:cs="Times New Roman"/>
          <w:sz w:val="28"/>
          <w:szCs w:val="28"/>
        </w:rPr>
        <w:t xml:space="preserve">, індекс </w:t>
      </w:r>
      <w:proofErr w:type="spellStart"/>
      <w:r>
        <w:rPr>
          <w:rFonts w:ascii="Times New Roman" w:eastAsia="Times New Roman" w:hAnsi="Times New Roman" w:cs="Times New Roman"/>
          <w:sz w:val="28"/>
          <w:szCs w:val="28"/>
        </w:rPr>
        <w:t>Піньє</w:t>
      </w:r>
      <w:proofErr w:type="spellEnd"/>
      <w:r>
        <w:rPr>
          <w:rFonts w:ascii="Times New Roman" w:eastAsia="Times New Roman" w:hAnsi="Times New Roman" w:cs="Times New Roman"/>
          <w:sz w:val="28"/>
          <w:szCs w:val="28"/>
        </w:rPr>
        <w:t>, індекс пропорційності, екскурсія грудної клітки.</w:t>
      </w:r>
    </w:p>
    <w:p w14:paraId="34E19535"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антропометричні методи дослідження дали можливість визначити фізичний розвиток дітей молодшого шкільного віку. Даний метод має свої переваги перед іншими, він об’єктивний, коректний, порівнянний, простий у використанні та дозволяє стежити за динамікою антропометричних даних, побачити зміни показників.</w:t>
      </w:r>
    </w:p>
    <w:p w14:paraId="4D25D517" w14:textId="77777777" w:rsidR="0025671A" w:rsidRDefault="0025671A">
      <w:pPr>
        <w:tabs>
          <w:tab w:val="left" w:pos="1095"/>
        </w:tabs>
        <w:spacing w:after="0" w:line="360" w:lineRule="auto"/>
        <w:ind w:firstLine="709"/>
        <w:jc w:val="both"/>
        <w:rPr>
          <w:rFonts w:ascii="Times New Roman" w:eastAsia="Times New Roman" w:hAnsi="Times New Roman" w:cs="Times New Roman"/>
          <w:sz w:val="28"/>
          <w:szCs w:val="28"/>
        </w:rPr>
      </w:pPr>
    </w:p>
    <w:p w14:paraId="3F6CAE18"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11" w:name="_17dp8vu" w:colFirst="0" w:colLast="0"/>
      <w:bookmarkEnd w:id="11"/>
      <w:r>
        <w:rPr>
          <w:rFonts w:ascii="Times New Roman" w:eastAsia="Times New Roman" w:hAnsi="Times New Roman" w:cs="Times New Roman"/>
          <w:b/>
          <w:color w:val="000000"/>
          <w:sz w:val="28"/>
          <w:szCs w:val="28"/>
        </w:rPr>
        <w:t>2.1.3. Фізіологічні методи дослідження (</w:t>
      </w:r>
      <w:proofErr w:type="spellStart"/>
      <w:r>
        <w:rPr>
          <w:rFonts w:ascii="Times New Roman" w:eastAsia="Times New Roman" w:hAnsi="Times New Roman" w:cs="Times New Roman"/>
          <w:b/>
          <w:color w:val="000000"/>
          <w:sz w:val="28"/>
          <w:szCs w:val="28"/>
        </w:rPr>
        <w:t>тонометрія</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пульсометрія</w:t>
      </w:r>
      <w:proofErr w:type="spellEnd"/>
      <w:r>
        <w:rPr>
          <w:rFonts w:ascii="Times New Roman" w:eastAsia="Times New Roman" w:hAnsi="Times New Roman" w:cs="Times New Roman"/>
          <w:b/>
          <w:color w:val="000000"/>
          <w:sz w:val="28"/>
          <w:szCs w:val="28"/>
        </w:rPr>
        <w:t>, спірометрія)</w:t>
      </w:r>
    </w:p>
    <w:p w14:paraId="475FA749"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мети дослідження було використано наступні методи:</w:t>
      </w:r>
    </w:p>
    <w:p w14:paraId="3BA169D2"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Визначення м’язової сили (визначення абсолютної м’язової сили згиначів, визначення відносної м’язової сили згиначів, визначення м’язової витривалості, дослідження м’язової сили розгиначів тулуба людини).</w:t>
      </w:r>
    </w:p>
    <w:p w14:paraId="3A657003"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Методи оцінки функціонального стану серцево-судинної системи (визначення артеріального тиску, визначення частоти серцевих скорочень (ЧСС) у спокої та при виконанні фізичних вправ, оцінка функціональних можливостей серцево-судинної системи за показниками ЧСС у спокої, </w:t>
      </w:r>
      <w:r>
        <w:rPr>
          <w:rFonts w:ascii="Times New Roman" w:eastAsia="Times New Roman" w:hAnsi="Times New Roman" w:cs="Times New Roman"/>
          <w:sz w:val="28"/>
          <w:szCs w:val="28"/>
        </w:rPr>
        <w:lastRenderedPageBreak/>
        <w:t xml:space="preserve">визначення резерву серцево-судинної системи, ЧСС в оцінці фізичної працездатності, </w:t>
      </w:r>
      <w:proofErr w:type="spellStart"/>
      <w:r>
        <w:rPr>
          <w:rFonts w:ascii="Times New Roman" w:eastAsia="Times New Roman" w:hAnsi="Times New Roman" w:cs="Times New Roman"/>
          <w:sz w:val="28"/>
          <w:szCs w:val="28"/>
        </w:rPr>
        <w:t>клиностатична</w:t>
      </w:r>
      <w:proofErr w:type="spellEnd"/>
      <w:r>
        <w:rPr>
          <w:rFonts w:ascii="Times New Roman" w:eastAsia="Times New Roman" w:hAnsi="Times New Roman" w:cs="Times New Roman"/>
          <w:sz w:val="28"/>
          <w:szCs w:val="28"/>
        </w:rPr>
        <w:t xml:space="preserve"> проба, </w:t>
      </w:r>
      <w:proofErr w:type="spellStart"/>
      <w:r>
        <w:rPr>
          <w:rFonts w:ascii="Times New Roman" w:eastAsia="Times New Roman" w:hAnsi="Times New Roman" w:cs="Times New Roman"/>
          <w:sz w:val="28"/>
          <w:szCs w:val="28"/>
        </w:rPr>
        <w:t>тримоментна</w:t>
      </w:r>
      <w:proofErr w:type="spellEnd"/>
      <w:r>
        <w:rPr>
          <w:rFonts w:ascii="Times New Roman" w:eastAsia="Times New Roman" w:hAnsi="Times New Roman" w:cs="Times New Roman"/>
          <w:sz w:val="28"/>
          <w:szCs w:val="28"/>
        </w:rPr>
        <w:t xml:space="preserve"> комбінована проба </w:t>
      </w:r>
      <w:proofErr w:type="spellStart"/>
      <w:r>
        <w:rPr>
          <w:rFonts w:ascii="Times New Roman" w:eastAsia="Times New Roman" w:hAnsi="Times New Roman" w:cs="Times New Roman"/>
          <w:sz w:val="28"/>
          <w:szCs w:val="28"/>
        </w:rPr>
        <w:t>Летунова</w:t>
      </w:r>
      <w:proofErr w:type="spellEnd"/>
      <w:r>
        <w:rPr>
          <w:rFonts w:ascii="Times New Roman" w:eastAsia="Times New Roman" w:hAnsi="Times New Roman" w:cs="Times New Roman"/>
          <w:sz w:val="28"/>
          <w:szCs w:val="28"/>
        </w:rPr>
        <w:t>).</w:t>
      </w:r>
    </w:p>
    <w:p w14:paraId="6086EAF2"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Показники гемодинаміки щодо оцінки вегетативного статусу організму.</w:t>
      </w:r>
    </w:p>
    <w:p w14:paraId="32F0272C"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proofErr w:type="spellStart"/>
      <w:r>
        <w:rPr>
          <w:rFonts w:ascii="Times New Roman" w:eastAsia="Times New Roman" w:hAnsi="Times New Roman" w:cs="Times New Roman"/>
          <w:sz w:val="28"/>
          <w:szCs w:val="28"/>
        </w:rPr>
        <w:t>Тонометрія</w:t>
      </w:r>
      <w:proofErr w:type="spellEnd"/>
      <w:r>
        <w:rPr>
          <w:rFonts w:ascii="Times New Roman" w:eastAsia="Times New Roman" w:hAnsi="Times New Roman" w:cs="Times New Roman"/>
          <w:sz w:val="28"/>
          <w:szCs w:val="28"/>
        </w:rPr>
        <w:t xml:space="preserve"> – це метод вимірювання артеріального тиску, який є важливим показником стану серцево-судинної системи. Вимірювання артеріального тиску у дітей молодшого шкільного віку має свої особливості, які необхідно враховувати для отримання точних результатів. По-перше, у дітей артеріальний тиск зазвичай нижчий, ніж у дорослих, і з віком він поступово підвищується. Для вимірювання тиску у дітей використовуються спеціальні дитячі тонометри або стандартні тонометри з манжетами зменшеного розміру, які відповідають обхвату руки дитини. Важливо правильно підібрати розмір манжети, оскільки від цього залежить точність вимірювання. Автоматичні тонометри зручні у використанні, але для дітей до трьох років краще використовувати механічні тонометри, оскільки автоматичні можуть спускати повітря з манжети занадто швидко, що може бути незручним для малюків. Під час вимірювання тиску у дітей важливо забезпечити спокійну атмосферу, оскільки стрес або фізична активність можуть вплинути на результати. Дитина повинна сидіти спокійно, зручно розташувавши руку на рівні серця. Вимірювання слід проводити кілька разів з інтервалом у кілька хвилин, щоб отримати середнє значення. Якщо у дитини спостерігаються систематичні відхилення від норм артеріального тиску, важливо звернутися до лікаря для встановлення причин і призначення лікування. </w:t>
      </w:r>
      <w:proofErr w:type="spellStart"/>
      <w:r>
        <w:rPr>
          <w:rFonts w:ascii="Times New Roman" w:eastAsia="Times New Roman" w:hAnsi="Times New Roman" w:cs="Times New Roman"/>
          <w:sz w:val="28"/>
          <w:szCs w:val="28"/>
        </w:rPr>
        <w:t>Тонометрія</w:t>
      </w:r>
      <w:proofErr w:type="spellEnd"/>
      <w:r>
        <w:rPr>
          <w:rFonts w:ascii="Times New Roman" w:eastAsia="Times New Roman" w:hAnsi="Times New Roman" w:cs="Times New Roman"/>
          <w:sz w:val="28"/>
          <w:szCs w:val="28"/>
        </w:rPr>
        <w:t xml:space="preserve"> у дітей молодшого шкільного віку є важливим інструментом для контролю стану здоров’я і своєчасного виявлення можливих проблем з серцево-судинною системою [21].</w:t>
      </w:r>
    </w:p>
    <w:p w14:paraId="421B93FB"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proofErr w:type="spellStart"/>
      <w:r>
        <w:rPr>
          <w:rFonts w:ascii="Times New Roman" w:eastAsia="Times New Roman" w:hAnsi="Times New Roman" w:cs="Times New Roman"/>
          <w:sz w:val="28"/>
          <w:szCs w:val="28"/>
        </w:rPr>
        <w:t>Пульсометрія</w:t>
      </w:r>
      <w:proofErr w:type="spellEnd"/>
      <w:r>
        <w:rPr>
          <w:rFonts w:ascii="Times New Roman" w:eastAsia="Times New Roman" w:hAnsi="Times New Roman" w:cs="Times New Roman"/>
          <w:sz w:val="28"/>
          <w:szCs w:val="28"/>
        </w:rPr>
        <w:t xml:space="preserve"> – це метод вимірювання частоти серцевих скорочень (ЧСС), який використовується для оцінки стану серцево-судинної системи. Вимірювання пульсу у дітей молодшого шкільного віку має свої особливості, які необхідно враховувати для отримання точних результатів. По-перше, у </w:t>
      </w:r>
      <w:r>
        <w:rPr>
          <w:rFonts w:ascii="Times New Roman" w:eastAsia="Times New Roman" w:hAnsi="Times New Roman" w:cs="Times New Roman"/>
          <w:sz w:val="28"/>
          <w:szCs w:val="28"/>
        </w:rPr>
        <w:lastRenderedPageBreak/>
        <w:t xml:space="preserve">дітей частота серцевих скорочень зазвичай вища, ніж у дорослих, і може значно варіювати залежно від віку, фізичної активності та емоційного стану. Для вимірювання пульсу у дітей використовуються спеціальні дитячі пульсометри або стандартні пульсометри з налаштуваннями, що дозволяють враховувати особливості дитячого організму. Важливо правильно підібрати розмір манжети або сенсора, оскільки від цього залежить точність вимірювання. Під час вимірювання пульсу у дітей важливо забезпечити спокійну атмосферу, оскільки стрес або фізична активність можуть вплинути на результати. Дитина повинна сидіти або лежати спокійно, зручно розташувавши руку або палець, на якому проводиться вимірювання. Вимірювання слід проводити кілька разів з інтервалом у кілька хвилин, щоб отримати середнє значення. Якщо у дитини спостерігаються систематичні відхилення від норм частоти серцевих скорочень, важливо звернутися до лікаря для встановлення причин і призначення лікування. </w:t>
      </w:r>
      <w:proofErr w:type="spellStart"/>
      <w:r>
        <w:rPr>
          <w:rFonts w:ascii="Times New Roman" w:eastAsia="Times New Roman" w:hAnsi="Times New Roman" w:cs="Times New Roman"/>
          <w:sz w:val="28"/>
          <w:szCs w:val="28"/>
        </w:rPr>
        <w:t>Пульсометрія</w:t>
      </w:r>
      <w:proofErr w:type="spellEnd"/>
      <w:r>
        <w:rPr>
          <w:rFonts w:ascii="Times New Roman" w:eastAsia="Times New Roman" w:hAnsi="Times New Roman" w:cs="Times New Roman"/>
          <w:sz w:val="28"/>
          <w:szCs w:val="28"/>
        </w:rPr>
        <w:t xml:space="preserve"> у дітей молодшого шкільного віку є важливим інструментом для контролю стану здоров’я і своєчасного виявлення можливих проблем з серцево-судинною системою. Важливо також враховувати, що у дітей частота серцевих скорочень може змінюватися протягом дня, тому для отримання найбільш точних результатів вимірювання слід проводити в один і той же час доби. </w:t>
      </w:r>
      <w:proofErr w:type="spellStart"/>
      <w:r>
        <w:rPr>
          <w:rFonts w:ascii="Times New Roman" w:eastAsia="Times New Roman" w:hAnsi="Times New Roman" w:cs="Times New Roman"/>
          <w:sz w:val="28"/>
          <w:szCs w:val="28"/>
        </w:rPr>
        <w:t>Пульсометрія</w:t>
      </w:r>
      <w:proofErr w:type="spellEnd"/>
      <w:r>
        <w:rPr>
          <w:rFonts w:ascii="Times New Roman" w:eastAsia="Times New Roman" w:hAnsi="Times New Roman" w:cs="Times New Roman"/>
          <w:sz w:val="28"/>
          <w:szCs w:val="28"/>
        </w:rPr>
        <w:t xml:space="preserve"> дозволяє не тільки оцінити стан серцево-судинної системи, але й контролювати ефективність фізичних навантажень та адаптацію організму до них. Це особливо важливо для дітей, які займаються спортом або мають підвищену фізичну активність. Використання сучасних пульсометрів з функцією запису та аналізу даних дозволяє отримувати більш детальну інформацію про стан серцево-судинної системи і своєчасно виявляти можливі відхилення [26].</w:t>
      </w:r>
    </w:p>
    <w:p w14:paraId="3708EB96"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Спірометрія – це метод графічної реєстрації легеневих об’ємів та швидкостей під час дихальних рухів, який дозволяє визначити показники, що характеризують вентиляцію легень. Вона включає вимірювання таких параметрів, як форсована життєва ємність легень (FVC) та об’єм форсованого видиху за одну секунду (FEV1). Ці показники допомагають оцінити еластичні </w:t>
      </w:r>
      <w:r>
        <w:rPr>
          <w:rFonts w:ascii="Times New Roman" w:eastAsia="Times New Roman" w:hAnsi="Times New Roman" w:cs="Times New Roman"/>
          <w:sz w:val="28"/>
          <w:szCs w:val="28"/>
        </w:rPr>
        <w:lastRenderedPageBreak/>
        <w:t>властивості легень та прохідність дихальних шляхів. Спірометрія є важливим інструментом для діагностики, моніторингу та лікування респіраторних захворювань, таких як астма, хронічний бронхіт та інші обструктивні захворювання дихальних шляхів. Особливості проведення спірометрії у дітей молодшого шкільного віку включають необхідність забезпечення спокійної атмосфери, оскільки стрес або страх можуть вплинути на результати вимірювання. Дитина повинна бути спокійною і розслабленою, а також мати чіткі інструкції щодо виконання дихальних маневрів. Важливо використовувати спеціальні дитячі спірометри або стандартні спірометри з налаштуваннями, що дозволяють враховувати особливості дитячого організму. Під час вимірювання дитина повинна сидіти або стояти рівно, зручно розташувавши руки. Вимірювання слід проводити кілька разів з інтервалом у кілька хвилин, щоб отримати середнє значення. Якщо у дитини спостерігаються систематичні відхилення від нормальних показників, важливо звернутися до лікаря для встановлення причин і призначення лікування. Спірометрія у дітей молодшого шкільного віку є важливим інструментом для контролю стану здоров’я і своєчасного виявлення можливих проблем з дихальною системою. Важливо також враховувати, що у дітей показники легеневої функції можуть змінюватися протягом дня, тому для отримання найбільш точних результатів вимірювання слід проводити в один і той же час доби. Спірометрія дозволяє не тільки оцінити стан дихальної системи, але й контролювати ефективність лікування та адаптацію організму до фізичних навантажень. Це особливо важливо для дітей, які мають хронічні захворювання легень або підвищену фізичну активність. Використання сучасних спірометрів з функцією запису та аналізу даних дозволяє отримувати більш детальну інформацію про стан дихальної системи і своєчасно виявляти можливі відхилення [47].</w:t>
      </w:r>
    </w:p>
    <w:p w14:paraId="6C42A671" w14:textId="77777777" w:rsidR="0025671A" w:rsidRDefault="0025671A">
      <w:pPr>
        <w:tabs>
          <w:tab w:val="left" w:pos="1095"/>
        </w:tabs>
        <w:spacing w:after="0" w:line="360" w:lineRule="auto"/>
        <w:jc w:val="both"/>
        <w:rPr>
          <w:rFonts w:ascii="Times New Roman" w:eastAsia="Times New Roman" w:hAnsi="Times New Roman" w:cs="Times New Roman"/>
          <w:sz w:val="28"/>
          <w:szCs w:val="28"/>
        </w:rPr>
      </w:pPr>
    </w:p>
    <w:p w14:paraId="53F82BCB"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12" w:name="_3rdcrjn" w:colFirst="0" w:colLast="0"/>
      <w:bookmarkEnd w:id="12"/>
      <w:r>
        <w:rPr>
          <w:rFonts w:ascii="Times New Roman" w:eastAsia="Times New Roman" w:hAnsi="Times New Roman" w:cs="Times New Roman"/>
          <w:b/>
          <w:color w:val="000000"/>
          <w:sz w:val="28"/>
          <w:szCs w:val="28"/>
        </w:rPr>
        <w:t>2.1.4. Педагогічні методи дослідження</w:t>
      </w:r>
    </w:p>
    <w:p w14:paraId="72B4F691"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Педагогічні методи дослідження організації ігрової діяльності дітей молодшого шкільного віку засобами інноваційних технологій фізичного </w:t>
      </w:r>
      <w:r>
        <w:rPr>
          <w:rFonts w:ascii="Times New Roman" w:eastAsia="Times New Roman" w:hAnsi="Times New Roman" w:cs="Times New Roman"/>
          <w:sz w:val="28"/>
          <w:szCs w:val="28"/>
        </w:rPr>
        <w:lastRenderedPageBreak/>
        <w:t xml:space="preserve">виховання включають різноманітні підходи та інструменти, спрямовані на покращення фізичного розвитку та загального благополуччя дітей. </w:t>
      </w:r>
    </w:p>
    <w:p w14:paraId="23640121"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Педагогічне спостереження дозволяє вчителям та дослідникам оцінювати поведінку дітей під час ігрових та змагальних заходів, визначати їхні інтереси, рівень активності та взаємодію з однолітками. Це допомагає виявити сильні та слабкі сторони кожної дитини та розробити індивідуальні підходи до їхнього фізичного виховання. </w:t>
      </w:r>
    </w:p>
    <w:p w14:paraId="4E8C0A8E"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Іншим важливим методом є педагогічний експеримент, який передбачає впровадження нових ігрових та змагальних технологій у навчальний процес з подальшим аналізом їхньої ефективності. Це можуть бути різноманітні інтерактивні ігри, використання сучасних технологій, таких як віртуальна реальність або спеціалізовані мобільні додатки, які стимулюють фізичну активність дітей. </w:t>
      </w:r>
    </w:p>
    <w:p w14:paraId="6D7DD2EF"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Педагогічне тестування також є важливим методом, який дозволяє оцінити рівень фізичної підготовки дітей, їхні координаційні здібності, витривалість та інші фізичні якості. Це можуть бути як стандартні тести, так і спеціально розроблені для конкретних ігрових або змагальних заходів [31]. </w:t>
      </w:r>
    </w:p>
    <w:p w14:paraId="0F120381"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результатів тестування допомагає вчителям коригувати навчальні програми та підходи до фізичного виховання. Використання інноваційних технологій у фізичному вихованні дітей молодшого шкільного віку має свої особливості. По-перше, важливо враховувати вікові та психологічні особливості дітей, їхню здатність до сприйняття нових технологій та методів навчання. По-друге, необхідно забезпечити безпеку під час використання технологій, особливо якщо мова йде про фізичну активність. Це включає правильний вибір обладнання, контроль за його використанням та навчання дітей правилам безпеки. По-третє, важливо забезпечити інтеграцію інноваційних технологій у загальний навчальний процес, щоб вони не були ізольованими елементами, а органічно доповнювали традиційні методи фізичного виховання. Це може включати використання інтерактивних дошок, мобільних додатків для відстеження фізичної активності, віртуальних </w:t>
      </w:r>
      <w:r>
        <w:rPr>
          <w:rFonts w:ascii="Times New Roman" w:eastAsia="Times New Roman" w:hAnsi="Times New Roman" w:cs="Times New Roman"/>
          <w:sz w:val="28"/>
          <w:szCs w:val="28"/>
        </w:rPr>
        <w:lastRenderedPageBreak/>
        <w:t>тренажерів та інших технологічних рішень. Педагогічні методи дослідження організації ігрової та змагальної діяльності дітей молодшого шкільного віку засобами інноваційних технологій фізичного виховання спрямовані на створення ефективного та безпечного навчального середовища, яке стимулює фізичний розвиток дітей, їхню активність та інтерес до спорту. Це дозволяє не тільки покращити фізичну підготовку дітей, але й сприяє їхньому загальному розвитку, формуванню здорових звичок та позитивного ставлення до фізичної активності [39].</w:t>
      </w:r>
    </w:p>
    <w:p w14:paraId="411D15E6" w14:textId="77777777" w:rsidR="0025671A" w:rsidRDefault="0025671A">
      <w:pPr>
        <w:tabs>
          <w:tab w:val="left" w:pos="1095"/>
        </w:tabs>
        <w:spacing w:after="0" w:line="360" w:lineRule="auto"/>
        <w:ind w:firstLine="709"/>
        <w:jc w:val="both"/>
        <w:rPr>
          <w:rFonts w:ascii="Times New Roman" w:eastAsia="Times New Roman" w:hAnsi="Times New Roman" w:cs="Times New Roman"/>
          <w:sz w:val="28"/>
          <w:szCs w:val="28"/>
        </w:rPr>
      </w:pPr>
    </w:p>
    <w:p w14:paraId="13DDEE93" w14:textId="77777777" w:rsidR="0025671A" w:rsidRDefault="00D74137">
      <w:pPr>
        <w:keepNext/>
        <w:spacing w:after="0" w:line="360" w:lineRule="auto"/>
        <w:ind w:firstLine="709"/>
        <w:jc w:val="both"/>
        <w:rPr>
          <w:rFonts w:ascii="Times New Roman" w:eastAsia="Times New Roman" w:hAnsi="Times New Roman" w:cs="Times New Roman"/>
          <w:b/>
          <w:sz w:val="28"/>
          <w:szCs w:val="28"/>
        </w:rPr>
      </w:pPr>
      <w:bookmarkStart w:id="13" w:name="_26in1rg" w:colFirst="0" w:colLast="0"/>
      <w:bookmarkEnd w:id="13"/>
      <w:r>
        <w:rPr>
          <w:rFonts w:ascii="Times New Roman" w:eastAsia="Times New Roman" w:hAnsi="Times New Roman" w:cs="Times New Roman"/>
          <w:b/>
          <w:sz w:val="28"/>
          <w:szCs w:val="28"/>
        </w:rPr>
        <w:t>2.1.5. Статистичні методи обробки отриманих даних</w:t>
      </w:r>
    </w:p>
    <w:p w14:paraId="441644F5"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Статистичні методи обробки отриманих даних у дослідженні організації ігрової та змагальної діяльності дітей молодшого шкільного віку засобами інноваційних технологій фізичного виховання включають різноманітні підходи, які дозволяють отримати точні та надійні результати. </w:t>
      </w:r>
    </w:p>
    <w:p w14:paraId="256056C1"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основних методів є описова статистика, яка включає обчислення середніх значень, медіан, мод та стандартних відхилень. Ці показники дозволяють отримати загальне уявлення про розподіл даних та їх варіабельність. Для порівняння груп використовуються методи порівняльної статистики, такі як t-тест для незалежних вибірок або аналіз варіації (ANOVA). Ці методи дозволяють визначити, чи існують статистично значущі відмінності між групами дітей, які використовують різні інноваційні технології фізичного виховання.</w:t>
      </w:r>
    </w:p>
    <w:p w14:paraId="7BECE53A"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Кореляційний аналіз використовується для визначення взаємозв’язків між різними змінними, такими як рівень фізичної активності та успішність у навчанні. Це дозволяє виявити, які фактори впливають на результати ігрової та змагальної діяльності. </w:t>
      </w:r>
    </w:p>
    <w:p w14:paraId="4A22EE56"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Регресійний аналіз дозволяє моделювати залежності між змінними та прогнозувати результати на основі наявних даних. Наприклад, можна визначити, як зміна інтенсивності фізичних навантажень впливає на показники фізичного розвитку дітей. </w:t>
      </w:r>
    </w:p>
    <w:p w14:paraId="391E3448"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аналізу динаміки змін у часі використовуються методи часових рядів, які дозволяють оцінити тенденції та передбачити майбутні зміни. Це особливо корисно для довгострокових досліджень, які включають багаторазові вимірювання. </w:t>
      </w:r>
    </w:p>
    <w:p w14:paraId="56C87C3B"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кластерного аналізу дозволяє групувати дітей за схожими характеристиками, що допомагає виявити типові профілі учасників та розробити індивідуальні підходи до їхнього фізичного виховання [23]. </w:t>
      </w:r>
    </w:p>
    <w:p w14:paraId="6452C79C"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Дискримінантний</w:t>
      </w:r>
      <w:proofErr w:type="spellEnd"/>
      <w:r>
        <w:rPr>
          <w:rFonts w:ascii="Times New Roman" w:eastAsia="Times New Roman" w:hAnsi="Times New Roman" w:cs="Times New Roman"/>
          <w:sz w:val="28"/>
          <w:szCs w:val="28"/>
        </w:rPr>
        <w:t xml:space="preserve"> аналіз використовується для класифікації дітей за різними критеріями, такими як рівень фізичної підготовки або успішність у змаганнях. Це дозволяє визначити, які фактори найбільше впливають на успішність у фізичній діяльності. </w:t>
      </w:r>
    </w:p>
    <w:p w14:paraId="56C0A641"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візуалізації даних використовуються графічні методи, такі як гістограми, діаграми розсіювання та коробкові діаграми. Це дозволяє наочно представити результати дослідження та полегшити їх інтерпретацію. </w:t>
      </w:r>
    </w:p>
    <w:p w14:paraId="37B6EBBF"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аспектом є також перевірка гіпотез, яка включає використання статистичних тестів для визначення значущості отриманих результатів. Це дозволяє зробити висновки про наявність або відсутність ефекту від використання інноваційних технологій у фізичному вихованні. </w:t>
      </w:r>
    </w:p>
    <w:p w14:paraId="7F7ED9F2"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ці методи разом дозволяють отримати комплексне уявлення про ефективність організації ігрової та змагальної діяльності дітей молодшого шкільного віку засобами інноваційних технологій фізичного виховання, що сприяє покращенню методик та підходів у цій галузі.</w:t>
      </w:r>
    </w:p>
    <w:p w14:paraId="407C17C5" w14:textId="77777777" w:rsidR="0025671A" w:rsidRDefault="00D7413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Таким чином, дослідники зробили значний внесок у розвиток методик фізичного виховання та організації ігрової діяльності дітей, що дозволяє підвищити ефективність навчального процесу та сприяти всебічному розвитку дітей. Для наукового та практичного вирішення питання організації ігрової та змагальної діяльності дітей молодшого шкільного віку засобами інноваційних технологій фізичного виховання було здійснено оцінку найпростіших антропометричних показників – маси тіла, росту, окружності грудної клітки, здійснено </w:t>
      </w:r>
      <w:proofErr w:type="spellStart"/>
      <w:r>
        <w:rPr>
          <w:rFonts w:ascii="Times New Roman" w:eastAsia="Times New Roman" w:hAnsi="Times New Roman" w:cs="Times New Roman"/>
          <w:sz w:val="28"/>
          <w:szCs w:val="28"/>
        </w:rPr>
        <w:t>тонометрію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пульсометрію</w:t>
      </w:r>
      <w:proofErr w:type="spellEnd"/>
      <w:r>
        <w:rPr>
          <w:rFonts w:ascii="Times New Roman" w:eastAsia="Times New Roman" w:hAnsi="Times New Roman" w:cs="Times New Roman"/>
          <w:sz w:val="28"/>
          <w:szCs w:val="28"/>
        </w:rPr>
        <w:t>, спірометрію.</w:t>
      </w:r>
    </w:p>
    <w:p w14:paraId="73A8A7F8"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Педагогічні методи дослідження організації ігрової та змагальної діяльності дітей молодшого шкільного віку засобами інноваційних технологій фізичного виховання включають різноманітні підходи та інструменти, спрямовані на покращення фізичного розвитку та загального благополуччя дітей. </w:t>
      </w:r>
    </w:p>
    <w:p w14:paraId="2840D94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основних статистичних методів дослідження є описова статистика, яка включає обчислення середніх значень, медіан, мод та стандартних відхилень. Ці показники дозволяють отримати загальне уявлення про розподіл даних та їх варіабельність. Ці методи разом дозволяють отримати комплексне уявлення про ефективність організації ігрової та змагальної діяльності дітей молодшого шкільного віку засобами інноваційних технологій фізичного виховання, що сприяє покращенню методик та підходів у цій галузі.</w:t>
      </w:r>
    </w:p>
    <w:p w14:paraId="5ADBEF6D" w14:textId="77777777" w:rsidR="0025671A" w:rsidRDefault="0025671A">
      <w:pPr>
        <w:spacing w:after="0" w:line="360" w:lineRule="auto"/>
        <w:jc w:val="both"/>
        <w:rPr>
          <w:rFonts w:ascii="Times New Roman" w:eastAsia="Times New Roman" w:hAnsi="Times New Roman" w:cs="Times New Roman"/>
          <w:sz w:val="28"/>
          <w:szCs w:val="28"/>
        </w:rPr>
      </w:pPr>
    </w:p>
    <w:p w14:paraId="427D0DC0"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highlight w:val="yellow"/>
        </w:rPr>
      </w:pPr>
      <w:bookmarkStart w:id="14" w:name="_lnxbz9" w:colFirst="0" w:colLast="0"/>
      <w:bookmarkEnd w:id="14"/>
      <w:r>
        <w:rPr>
          <w:rFonts w:ascii="Times New Roman" w:eastAsia="Times New Roman" w:hAnsi="Times New Roman" w:cs="Times New Roman"/>
          <w:b/>
          <w:color w:val="000000"/>
          <w:sz w:val="28"/>
          <w:szCs w:val="28"/>
        </w:rPr>
        <w:t>2.2. Організація дослідження</w:t>
      </w:r>
    </w:p>
    <w:p w14:paraId="528560D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дослідження ігрової діяльності дітей молодшого шкільного віку засобами інноваційних технологій фізичного виховання включала кілька ключових етапів:</w:t>
      </w:r>
    </w:p>
    <w:p w14:paraId="61E09C4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першому етапі (жовтень – грудень 2023 року) було здійснено виявлення теоретико-методологічних аспектів дослідження, проаналізовано та систематизовано список використаних джерел, методику проведення секційних занять. Визначено базу для проведення експериментального дослідження.</w:t>
      </w:r>
    </w:p>
    <w:p w14:paraId="00D91669" w14:textId="77777777" w:rsidR="0025671A" w:rsidRDefault="00D74137">
      <w:pPr>
        <w:spacing w:line="360" w:lineRule="auto"/>
        <w:ind w:firstLine="709"/>
        <w:jc w:val="both"/>
        <w:rPr>
          <w:rFonts w:ascii="Times New Roman" w:eastAsia="Times New Roman" w:hAnsi="Times New Roman" w:cs="Times New Roman"/>
          <w:sz w:val="28"/>
          <w:szCs w:val="28"/>
        </w:rPr>
      </w:pPr>
      <w:bookmarkStart w:id="15" w:name="_35nkun2" w:colFirst="0" w:colLast="0"/>
      <w:bookmarkEnd w:id="15"/>
      <w:r>
        <w:rPr>
          <w:rFonts w:ascii="Times New Roman" w:eastAsia="Times New Roman" w:hAnsi="Times New Roman" w:cs="Times New Roman"/>
          <w:sz w:val="28"/>
          <w:szCs w:val="28"/>
        </w:rPr>
        <w:t>На другому етапі (жовтень 2023 року – жовтень 2024 року) було проведено педагогічний експеримент, в якому брали участь два вчителі з фізичної культури,  та учасники освітнього процесу (  це діти від 7 до 10 років у кількості 60 осіб, поділені на експериментальну та контрольну групи). Дослідження проводилося на базі СЗШ №48 м. Львова.</w:t>
      </w:r>
    </w:p>
    <w:p w14:paraId="233D64DB" w14:textId="77777777" w:rsidR="0025671A" w:rsidRDefault="00D7413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Безпосередньо проведені заняття з використанням  віртуальної реальності та мультимедійних засобів на розвиток координаційних здібностей та соціальних навичок у дітей молодшого шкільного віку. Було виявлено найбільш ефективні форми, методи і прийоми експериментальної роботи.</w:t>
      </w:r>
    </w:p>
    <w:p w14:paraId="0552ED9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третьому етапі роботи (жовтень – листопад 2024 року) визначено ефективність проведеної роботи, здійснено статистичну обробку отриманих результатів, обґрунтовано висновки та оформлено кваліфікаційну роботу відповідно до встановлених вимог.</w:t>
      </w:r>
    </w:p>
    <w:p w14:paraId="5970A802" w14:textId="77777777" w:rsidR="0025671A" w:rsidRDefault="00D74137">
      <w:pPr>
        <w:rPr>
          <w:rFonts w:ascii="Times New Roman" w:eastAsia="Times New Roman" w:hAnsi="Times New Roman" w:cs="Times New Roman"/>
          <w:sz w:val="28"/>
          <w:szCs w:val="28"/>
        </w:rPr>
      </w:pPr>
      <w:r>
        <w:br w:type="page"/>
      </w:r>
    </w:p>
    <w:p w14:paraId="51EA2C21" w14:textId="77777777" w:rsidR="0025671A" w:rsidRDefault="00D74137">
      <w:pPr>
        <w:pStyle w:val="1"/>
        <w:spacing w:before="0" w:line="360" w:lineRule="auto"/>
        <w:jc w:val="center"/>
        <w:rPr>
          <w:rFonts w:ascii="Times New Roman" w:eastAsia="Times New Roman" w:hAnsi="Times New Roman" w:cs="Times New Roman"/>
          <w:b/>
          <w:smallCaps/>
          <w:color w:val="000000"/>
          <w:sz w:val="28"/>
          <w:szCs w:val="28"/>
        </w:rPr>
      </w:pPr>
      <w:bookmarkStart w:id="16" w:name="_1ksv4uv" w:colFirst="0" w:colLast="0"/>
      <w:bookmarkEnd w:id="16"/>
      <w:r>
        <w:rPr>
          <w:rFonts w:ascii="Times New Roman" w:eastAsia="Times New Roman" w:hAnsi="Times New Roman" w:cs="Times New Roman"/>
          <w:b/>
          <w:smallCaps/>
          <w:color w:val="000000"/>
          <w:sz w:val="28"/>
          <w:szCs w:val="28"/>
        </w:rPr>
        <w:lastRenderedPageBreak/>
        <w:t>РОЗДІЛ 3</w:t>
      </w:r>
    </w:p>
    <w:p w14:paraId="1FABD697" w14:textId="77777777" w:rsidR="0025671A" w:rsidRDefault="00D74137">
      <w:pPr>
        <w:pStyle w:val="1"/>
        <w:spacing w:before="0" w:line="360" w:lineRule="auto"/>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t xml:space="preserve"> ЕМПІРИЧНЕ ДОСЛІДЖЕННЯ ОРГАНІЗАЦІЇ ІГРОВОЇ ДІЯЛЬНОСТІ ДІТЕЙ МОЛОДШОГО ШКІЛЬНОГО ВІКУ ЗАСОБАМИ ІННОВАЦІЙНИХ ТЕХНОЛОГІЙ ФІЗИЧНОГО ВИХОВАННЯ</w:t>
      </w:r>
    </w:p>
    <w:p w14:paraId="1E542836" w14:textId="77777777" w:rsidR="0025671A" w:rsidRDefault="0025671A">
      <w:pPr>
        <w:spacing w:after="0" w:line="360" w:lineRule="auto"/>
        <w:ind w:firstLine="709"/>
        <w:jc w:val="both"/>
        <w:rPr>
          <w:rFonts w:ascii="Times New Roman" w:eastAsia="Times New Roman" w:hAnsi="Times New Roman" w:cs="Times New Roman"/>
          <w:smallCaps/>
          <w:sz w:val="28"/>
          <w:szCs w:val="28"/>
        </w:rPr>
      </w:pPr>
    </w:p>
    <w:p w14:paraId="1D9772CA"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17" w:name="_44sinio" w:colFirst="0" w:colLast="0"/>
      <w:bookmarkEnd w:id="17"/>
      <w:r>
        <w:rPr>
          <w:rFonts w:ascii="Times New Roman" w:eastAsia="Times New Roman" w:hAnsi="Times New Roman" w:cs="Times New Roman"/>
          <w:b/>
          <w:color w:val="000000"/>
          <w:sz w:val="28"/>
          <w:szCs w:val="28"/>
        </w:rPr>
        <w:t>3.1. Організація дослідження ігрової діяльності дітей молодшого шкільного віку засобами інноваційних технологій фізичного виховання</w:t>
      </w:r>
    </w:p>
    <w:p w14:paraId="561B7AAF" w14:textId="77777777" w:rsidR="0025671A" w:rsidRPr="008B4D2B" w:rsidRDefault="00D74137" w:rsidP="008B4D2B">
      <w:pPr>
        <w:spacing w:line="360" w:lineRule="auto"/>
        <w:ind w:firstLine="851"/>
        <w:contextualSpacing/>
        <w:jc w:val="both"/>
        <w:rPr>
          <w:rFonts w:ascii="Times New Roman" w:hAnsi="Times New Roman" w:cs="Times New Roman"/>
          <w:sz w:val="28"/>
          <w:szCs w:val="28"/>
        </w:rPr>
      </w:pPr>
      <w:r>
        <w:rPr>
          <w:rFonts w:ascii="Times New Roman" w:eastAsia="Times New Roman" w:hAnsi="Times New Roman" w:cs="Times New Roman"/>
          <w:sz w:val="28"/>
          <w:szCs w:val="28"/>
        </w:rPr>
        <w:t>Для визначення р</w:t>
      </w:r>
      <w:r w:rsidR="0039605B">
        <w:rPr>
          <w:rFonts w:ascii="Times New Roman" w:eastAsia="Times New Roman" w:hAnsi="Times New Roman" w:cs="Times New Roman"/>
          <w:sz w:val="28"/>
          <w:szCs w:val="28"/>
        </w:rPr>
        <w:t xml:space="preserve">івня розвитку фізичних якостей школярів, </w:t>
      </w:r>
      <w:r>
        <w:rPr>
          <w:rFonts w:ascii="Times New Roman" w:eastAsia="Times New Roman" w:hAnsi="Times New Roman" w:cs="Times New Roman"/>
          <w:sz w:val="28"/>
          <w:szCs w:val="28"/>
        </w:rPr>
        <w:t>необхідних для формування правильної постави, було проведено тест на гнучкість. Для вимірювання гнучкості тест передбачав нахил тулуба вперед з положення сидячи. Тест проводився за загальноприйнятою методикою.</w:t>
      </w:r>
    </w:p>
    <w:p w14:paraId="773E7A77" w14:textId="77777777" w:rsidR="0025671A" w:rsidRDefault="00D74137">
      <w:pPr>
        <w:keepNext/>
        <w:keepLines/>
        <w:tabs>
          <w:tab w:val="left" w:pos="720"/>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Результати тестування, оброблені за допомогою математичної статистики, представлені в таблиці 3.1.</w:t>
      </w:r>
    </w:p>
    <w:p w14:paraId="32ED20D7" w14:textId="77777777" w:rsidR="0025671A" w:rsidRDefault="00D74137">
      <w:pPr>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3.1</w:t>
      </w:r>
    </w:p>
    <w:p w14:paraId="4E11AA73" w14:textId="77777777" w:rsidR="0025671A" w:rsidRDefault="00D7413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Рівень розвитку гнучкості (см) у дітей молодшого шкільного віку</w:t>
      </w:r>
    </w:p>
    <w:tbl>
      <w:tblPr>
        <w:tblStyle w:val="a6"/>
        <w:tblW w:w="96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
        <w:gridCol w:w="1990"/>
        <w:gridCol w:w="2419"/>
        <w:gridCol w:w="2311"/>
        <w:gridCol w:w="1922"/>
      </w:tblGrid>
      <w:tr w:rsidR="0025671A" w14:paraId="4BCAD25E" w14:textId="77777777">
        <w:trPr>
          <w:trHeight w:val="1050"/>
        </w:trPr>
        <w:tc>
          <w:tcPr>
            <w:tcW w:w="962" w:type="dxa"/>
          </w:tcPr>
          <w:p w14:paraId="16C4EF85"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Вік </w:t>
            </w:r>
          </w:p>
        </w:tc>
        <w:tc>
          <w:tcPr>
            <w:tcW w:w="4409" w:type="dxa"/>
            <w:gridSpan w:val="2"/>
          </w:tcPr>
          <w:p w14:paraId="1C2590D1" w14:textId="77777777" w:rsidR="0025671A" w:rsidRDefault="0039605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Хлопчики (n=30</w:t>
            </w:r>
            <w:r w:rsidR="00D74137">
              <w:rPr>
                <w:rFonts w:ascii="Times New Roman" w:eastAsia="Times New Roman" w:hAnsi="Times New Roman" w:cs="Times New Roman"/>
                <w:sz w:val="28"/>
                <w:szCs w:val="28"/>
              </w:rPr>
              <w:t>)</w:t>
            </w:r>
          </w:p>
        </w:tc>
        <w:tc>
          <w:tcPr>
            <w:tcW w:w="4233" w:type="dxa"/>
            <w:gridSpan w:val="2"/>
          </w:tcPr>
          <w:p w14:paraId="6831710C" w14:textId="77777777" w:rsidR="0025671A" w:rsidRDefault="0039605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Дівчатка (n=3</w:t>
            </w:r>
            <w:r w:rsidR="00D74137">
              <w:rPr>
                <w:rFonts w:ascii="Times New Roman" w:eastAsia="Times New Roman" w:hAnsi="Times New Roman" w:cs="Times New Roman"/>
                <w:sz w:val="28"/>
                <w:szCs w:val="28"/>
              </w:rPr>
              <w:t>0)</w:t>
            </w:r>
          </w:p>
        </w:tc>
      </w:tr>
      <w:tr w:rsidR="0025671A" w14:paraId="036F387C" w14:textId="77777777">
        <w:trPr>
          <w:trHeight w:val="1013"/>
        </w:trPr>
        <w:tc>
          <w:tcPr>
            <w:tcW w:w="962" w:type="dxa"/>
            <w:vAlign w:val="center"/>
          </w:tcPr>
          <w:p w14:paraId="3EF54766" w14:textId="77777777" w:rsidR="0025671A" w:rsidRDefault="0025671A">
            <w:pPr>
              <w:spacing w:line="360" w:lineRule="auto"/>
              <w:jc w:val="center"/>
              <w:rPr>
                <w:rFonts w:ascii="Times New Roman" w:eastAsia="Times New Roman" w:hAnsi="Times New Roman" w:cs="Times New Roman"/>
                <w:sz w:val="28"/>
                <w:szCs w:val="28"/>
              </w:rPr>
            </w:pPr>
          </w:p>
        </w:tc>
        <w:tc>
          <w:tcPr>
            <w:tcW w:w="1990" w:type="dxa"/>
            <w:vAlign w:val="center"/>
          </w:tcPr>
          <w:p w14:paraId="62C0F96E" w14:textId="77777777" w:rsidR="0025671A" w:rsidRDefault="00D74137">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w:t>
            </w:r>
          </w:p>
        </w:tc>
        <w:tc>
          <w:tcPr>
            <w:tcW w:w="2419" w:type="dxa"/>
            <w:vAlign w:val="center"/>
          </w:tcPr>
          <w:p w14:paraId="202DE7F3" w14:textId="77777777" w:rsidR="0025671A" w:rsidRDefault="00D74137">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m</w:t>
            </w:r>
          </w:p>
        </w:tc>
        <w:tc>
          <w:tcPr>
            <w:tcW w:w="2311" w:type="dxa"/>
            <w:vAlign w:val="center"/>
          </w:tcPr>
          <w:p w14:paraId="1C2819D7" w14:textId="77777777" w:rsidR="0025671A" w:rsidRDefault="00D74137">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w:t>
            </w:r>
          </w:p>
        </w:tc>
        <w:tc>
          <w:tcPr>
            <w:tcW w:w="1922" w:type="dxa"/>
            <w:vAlign w:val="center"/>
          </w:tcPr>
          <w:p w14:paraId="4974084C" w14:textId="77777777" w:rsidR="0025671A" w:rsidRDefault="00D74137">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m</w:t>
            </w:r>
          </w:p>
        </w:tc>
      </w:tr>
      <w:tr w:rsidR="0025671A" w14:paraId="0770C7B6" w14:textId="77777777">
        <w:trPr>
          <w:trHeight w:val="1050"/>
        </w:trPr>
        <w:tc>
          <w:tcPr>
            <w:tcW w:w="962" w:type="dxa"/>
            <w:vAlign w:val="center"/>
          </w:tcPr>
          <w:p w14:paraId="5CD69D99"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90" w:type="dxa"/>
            <w:vAlign w:val="center"/>
          </w:tcPr>
          <w:p w14:paraId="3068EB66"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2419" w:type="dxa"/>
            <w:vAlign w:val="center"/>
          </w:tcPr>
          <w:p w14:paraId="441B6259"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0,202</w:t>
            </w:r>
          </w:p>
        </w:tc>
        <w:tc>
          <w:tcPr>
            <w:tcW w:w="2311" w:type="dxa"/>
            <w:vAlign w:val="center"/>
          </w:tcPr>
          <w:p w14:paraId="6998D64F"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w:t>
            </w:r>
          </w:p>
        </w:tc>
        <w:tc>
          <w:tcPr>
            <w:tcW w:w="1922" w:type="dxa"/>
            <w:vAlign w:val="center"/>
          </w:tcPr>
          <w:p w14:paraId="276276B5"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0,373</w:t>
            </w:r>
          </w:p>
        </w:tc>
      </w:tr>
      <w:tr w:rsidR="0025671A" w14:paraId="49CC7558" w14:textId="77777777">
        <w:trPr>
          <w:trHeight w:val="1013"/>
        </w:trPr>
        <w:tc>
          <w:tcPr>
            <w:tcW w:w="962" w:type="dxa"/>
            <w:vAlign w:val="center"/>
          </w:tcPr>
          <w:p w14:paraId="0CAA4F50"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90" w:type="dxa"/>
            <w:vAlign w:val="center"/>
          </w:tcPr>
          <w:p w14:paraId="7CB15A65"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2419" w:type="dxa"/>
            <w:vAlign w:val="center"/>
          </w:tcPr>
          <w:p w14:paraId="3AE5C695"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0,331</w:t>
            </w:r>
          </w:p>
        </w:tc>
        <w:tc>
          <w:tcPr>
            <w:tcW w:w="2311" w:type="dxa"/>
            <w:vAlign w:val="center"/>
          </w:tcPr>
          <w:p w14:paraId="1C001F91"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5,4</w:t>
            </w:r>
          </w:p>
        </w:tc>
        <w:tc>
          <w:tcPr>
            <w:tcW w:w="1922" w:type="dxa"/>
            <w:vAlign w:val="center"/>
          </w:tcPr>
          <w:p w14:paraId="4BC7C48F"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0,297</w:t>
            </w:r>
          </w:p>
        </w:tc>
      </w:tr>
      <w:tr w:rsidR="0025671A" w14:paraId="76163DA4" w14:textId="77777777">
        <w:trPr>
          <w:trHeight w:val="1013"/>
        </w:trPr>
        <w:tc>
          <w:tcPr>
            <w:tcW w:w="962" w:type="dxa"/>
            <w:vAlign w:val="center"/>
          </w:tcPr>
          <w:p w14:paraId="43BE912D"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990" w:type="dxa"/>
            <w:vAlign w:val="center"/>
          </w:tcPr>
          <w:p w14:paraId="00D44DE2"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c>
          <w:tcPr>
            <w:tcW w:w="2419" w:type="dxa"/>
            <w:vAlign w:val="center"/>
          </w:tcPr>
          <w:p w14:paraId="6BBC851B"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0,384</w:t>
            </w:r>
          </w:p>
        </w:tc>
        <w:tc>
          <w:tcPr>
            <w:tcW w:w="2311" w:type="dxa"/>
            <w:vAlign w:val="center"/>
          </w:tcPr>
          <w:p w14:paraId="3A4B4AE1"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7,8</w:t>
            </w:r>
          </w:p>
        </w:tc>
        <w:tc>
          <w:tcPr>
            <w:tcW w:w="1922" w:type="dxa"/>
            <w:vAlign w:val="center"/>
          </w:tcPr>
          <w:p w14:paraId="758478AB"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0,546</w:t>
            </w:r>
          </w:p>
        </w:tc>
      </w:tr>
      <w:tr w:rsidR="0025671A" w14:paraId="630FA07F" w14:textId="77777777">
        <w:trPr>
          <w:trHeight w:val="1050"/>
        </w:trPr>
        <w:tc>
          <w:tcPr>
            <w:tcW w:w="962" w:type="dxa"/>
            <w:vAlign w:val="center"/>
          </w:tcPr>
          <w:p w14:paraId="4E47B0CB"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990" w:type="dxa"/>
            <w:vAlign w:val="center"/>
          </w:tcPr>
          <w:p w14:paraId="2F562B19"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2419" w:type="dxa"/>
            <w:vAlign w:val="center"/>
          </w:tcPr>
          <w:p w14:paraId="17C01F46"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0,256</w:t>
            </w:r>
          </w:p>
        </w:tc>
        <w:tc>
          <w:tcPr>
            <w:tcW w:w="2311" w:type="dxa"/>
            <w:vAlign w:val="center"/>
          </w:tcPr>
          <w:p w14:paraId="407C74F4"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9,2</w:t>
            </w:r>
          </w:p>
        </w:tc>
        <w:tc>
          <w:tcPr>
            <w:tcW w:w="1922" w:type="dxa"/>
            <w:vAlign w:val="center"/>
          </w:tcPr>
          <w:p w14:paraId="019F9B26" w14:textId="77777777" w:rsidR="0025671A" w:rsidRDefault="00D741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0,334</w:t>
            </w:r>
          </w:p>
        </w:tc>
      </w:tr>
    </w:tbl>
    <w:p w14:paraId="698D21F8" w14:textId="77777777" w:rsidR="0025671A" w:rsidRDefault="00D74137">
      <w:pPr>
        <w:keepNext/>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 xml:space="preserve">   </w:t>
      </w:r>
      <w:r>
        <w:rPr>
          <w:rFonts w:ascii="Times New Roman" w:eastAsia="Times New Roman" w:hAnsi="Times New Roman" w:cs="Times New Roman"/>
          <w:sz w:val="28"/>
          <w:szCs w:val="28"/>
        </w:rPr>
        <w:t xml:space="preserve"> Результати тестування показують, що з віком показники гнучкості у хлопчиків та </w:t>
      </w:r>
      <w:proofErr w:type="spellStart"/>
      <w:r>
        <w:rPr>
          <w:rFonts w:ascii="Times New Roman" w:eastAsia="Times New Roman" w:hAnsi="Times New Roman" w:cs="Times New Roman"/>
          <w:sz w:val="28"/>
          <w:szCs w:val="28"/>
        </w:rPr>
        <w:t>дівчаток</w:t>
      </w:r>
      <w:proofErr w:type="spellEnd"/>
      <w:r>
        <w:rPr>
          <w:rFonts w:ascii="Times New Roman" w:eastAsia="Times New Roman" w:hAnsi="Times New Roman" w:cs="Times New Roman"/>
          <w:sz w:val="28"/>
          <w:szCs w:val="28"/>
        </w:rPr>
        <w:t xml:space="preserve"> статистично достовірно (t&gt;</w:t>
      </w:r>
      <w:proofErr w:type="spellStart"/>
      <w:r>
        <w:rPr>
          <w:rFonts w:ascii="Times New Roman" w:eastAsia="Times New Roman" w:hAnsi="Times New Roman" w:cs="Times New Roman"/>
          <w:sz w:val="28"/>
          <w:szCs w:val="28"/>
        </w:rPr>
        <w:t>t</w:t>
      </w:r>
      <w:r>
        <w:rPr>
          <w:rFonts w:ascii="Times New Roman" w:eastAsia="Times New Roman" w:hAnsi="Times New Roman" w:cs="Times New Roman"/>
          <w:sz w:val="28"/>
          <w:szCs w:val="28"/>
          <w:vertAlign w:val="subscript"/>
        </w:rPr>
        <w:t>гр</w:t>
      </w:r>
      <w:proofErr w:type="spellEnd"/>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зростають. Важливо зазначити, що якісні показники гнучкості у дівчаток вищі. Наприклад, у хлопчиків зростання гнучкості становить 2,9 см, тоді як у дівчаток цей показник вищий у кожному віці. А загальне зростання  становить 5 см. </w:t>
      </w:r>
    </w:p>
    <w:p w14:paraId="665D19BB" w14:textId="77777777" w:rsidR="0025671A" w:rsidRDefault="00D74137">
      <w:pPr>
        <w:keepNext/>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також оцінили результати тестування відповідно до вимог шкільної програми. Для 7-річних хлопчиків і дівчаток гнучкість еквівалентна 5 балам, тоді як для 8-річних хлопчиків — 6 балам, а для 8-річних дівчаток — 7 балам. Цікавий той факт, що оцінка гнучкості у хлопчиків та дівчаток, чий вік припадає на 9-10 років, однаково еквівалентна 8 балам. </w:t>
      </w:r>
    </w:p>
    <w:p w14:paraId="1CB117B1" w14:textId="77777777" w:rsidR="0025671A" w:rsidRDefault="00D74137">
      <w:pPr>
        <w:keepNext/>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тестування показали, що існують відмінності у розвитку гнучкості між хлопчиками та дівчатками. Для аналізу динаміки змін гнучкості за віком були визначені темпи приросту (рис. 3.1). У хлопчиків темпи приросту аналізованих показників мають регресивний характер.</w:t>
      </w:r>
    </w:p>
    <w:p w14:paraId="50E6A556" w14:textId="77777777" w:rsidR="0025671A" w:rsidRDefault="00D74137">
      <w:pPr>
        <w:keepNext/>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бачимо, що максимальний темп приросту показника припадає у період від 7 до 8 років, тоді як мінімальний темп приросту показника співпадає з періодом від 8 до 9 років, що еквівалентно 4,3% в динаміці змін. Однак, спостерігаємо дещо вищий темп приросту показника у період від 9 до 10 років — 6,2%.</w:t>
      </w:r>
    </w:p>
    <w:p w14:paraId="3B61AB62" w14:textId="77777777" w:rsidR="0025671A" w:rsidRDefault="00D74137">
      <w:pPr>
        <w:keepNext/>
        <w:keepLines/>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noProof/>
          <w:sz w:val="28"/>
          <w:szCs w:val="28"/>
        </w:rPr>
        <w:drawing>
          <wp:inline distT="0" distB="0" distL="0" distR="0" wp14:anchorId="5F3BCE2F" wp14:editId="1461C5A2">
            <wp:extent cx="4581525" cy="2802638"/>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4581525" cy="2802638"/>
                    </a:xfrm>
                    <a:prstGeom prst="rect">
                      <a:avLst/>
                    </a:prstGeom>
                    <a:ln/>
                  </pic:spPr>
                </pic:pic>
              </a:graphicData>
            </a:graphic>
          </wp:inline>
        </w:drawing>
      </w:r>
    </w:p>
    <w:p w14:paraId="2CF8B1F5" w14:textId="77777777" w:rsidR="0025671A" w:rsidRDefault="00D74137">
      <w:pPr>
        <w:keepNext/>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3.1. Темпи приросту гнучкості у дітей молодшого шкільного віку</w:t>
      </w:r>
    </w:p>
    <w:p w14:paraId="5BCFD84C" w14:textId="77777777" w:rsidR="0025671A" w:rsidRDefault="00D74137">
      <w:pPr>
        <w:keepNext/>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дівчаток темп приросту характеризується хвилеподібною формою при стабільних показниках. Відзначимо, що максимальний приріст гнучкості спостерігається у період від 8 до 9 років, що у відсотковому співвідношенні становить 36,4%. В цей же час, мінімальний  приріст відзначається у дівчаток віком від 9 до 10 років та становить 16,5%. У віковий період від 7 до 8 років темп приросту показника становить 25%. </w:t>
      </w:r>
    </w:p>
    <w:p w14:paraId="4FA9C2B6" w14:textId="77777777" w:rsidR="0025671A" w:rsidRDefault="00D74137">
      <w:pPr>
        <w:keepNext/>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Цікаво, що у період від 8 до 9 років у хлопчиків спостерігається мінімальний приріст гнучкості, тоді як у дівчаток — максимальний. </w:t>
      </w:r>
    </w:p>
    <w:p w14:paraId="3E9F978F" w14:textId="77777777" w:rsidR="0025671A" w:rsidRDefault="00D74137">
      <w:pPr>
        <w:keepNext/>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тестів на статичну витривалість та рівновагу представлені в таблиці 3.2.</w:t>
      </w:r>
    </w:p>
    <w:p w14:paraId="0B8621D1" w14:textId="77777777" w:rsidR="0025671A" w:rsidRDefault="00D74137">
      <w:pPr>
        <w:keepNext/>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статичної витривалості передніх м'язів тулуба статистично достовірно зростали з віком як у хлопців, так і у дівчат (t&gt;</w:t>
      </w:r>
      <w:proofErr w:type="spellStart"/>
      <w:r>
        <w:rPr>
          <w:rFonts w:ascii="Times New Roman" w:eastAsia="Times New Roman" w:hAnsi="Times New Roman" w:cs="Times New Roman"/>
          <w:sz w:val="28"/>
          <w:szCs w:val="28"/>
        </w:rPr>
        <w:t>t</w:t>
      </w:r>
      <w:r>
        <w:rPr>
          <w:rFonts w:ascii="Times New Roman" w:eastAsia="Times New Roman" w:hAnsi="Times New Roman" w:cs="Times New Roman"/>
          <w:sz w:val="28"/>
          <w:szCs w:val="28"/>
          <w:vertAlign w:val="subscript"/>
        </w:rPr>
        <w:t>гр</w:t>
      </w:r>
      <w:proofErr w:type="spellEnd"/>
      <w:r>
        <w:rPr>
          <w:rFonts w:ascii="Times New Roman" w:eastAsia="Times New Roman" w:hAnsi="Times New Roman" w:cs="Times New Roman"/>
          <w:sz w:val="28"/>
          <w:szCs w:val="28"/>
        </w:rPr>
        <w:t xml:space="preserve">), причому ці показники були вищими у хлопців. </w:t>
      </w:r>
    </w:p>
    <w:p w14:paraId="33CC12BD" w14:textId="77777777" w:rsidR="0025671A" w:rsidRDefault="00D74137">
      <w:pPr>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3.2</w:t>
      </w:r>
    </w:p>
    <w:tbl>
      <w:tblPr>
        <w:tblStyle w:val="a7"/>
        <w:tblpPr w:leftFromText="180" w:rightFromText="180" w:vertAnchor="text" w:tblpY="966"/>
        <w:tblW w:w="9705" w:type="dxa"/>
        <w:tblInd w:w="0" w:type="dxa"/>
        <w:tblLayout w:type="fixed"/>
        <w:tblLook w:val="0400" w:firstRow="0" w:lastRow="0" w:firstColumn="0" w:lastColumn="0" w:noHBand="0" w:noVBand="1"/>
      </w:tblPr>
      <w:tblGrid>
        <w:gridCol w:w="843"/>
        <w:gridCol w:w="1028"/>
        <w:gridCol w:w="1187"/>
        <w:gridCol w:w="1028"/>
        <w:gridCol w:w="1188"/>
        <w:gridCol w:w="827"/>
        <w:gridCol w:w="1388"/>
        <w:gridCol w:w="827"/>
        <w:gridCol w:w="1389"/>
      </w:tblGrid>
      <w:tr w:rsidR="0025671A" w14:paraId="4C311C3A" w14:textId="77777777">
        <w:trPr>
          <w:trHeight w:val="336"/>
        </w:trPr>
        <w:tc>
          <w:tcPr>
            <w:tcW w:w="84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6F79EE6"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Вік, років</w:t>
            </w:r>
          </w:p>
        </w:tc>
        <w:tc>
          <w:tcPr>
            <w:tcW w:w="4431" w:type="dxa"/>
            <w:gridSpan w:val="4"/>
            <w:tcBorders>
              <w:top w:val="single" w:sz="4" w:space="0" w:color="000000"/>
              <w:left w:val="nil"/>
              <w:bottom w:val="single" w:sz="4" w:space="0" w:color="000000"/>
              <w:right w:val="single" w:sz="4" w:space="0" w:color="000000"/>
            </w:tcBorders>
            <w:shd w:val="clear" w:color="auto" w:fill="auto"/>
            <w:vAlign w:val="center"/>
          </w:tcPr>
          <w:p w14:paraId="5497A6E9"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Статична витривалість</w:t>
            </w:r>
          </w:p>
        </w:tc>
        <w:tc>
          <w:tcPr>
            <w:tcW w:w="4431" w:type="dxa"/>
            <w:gridSpan w:val="4"/>
            <w:tcBorders>
              <w:top w:val="single" w:sz="4" w:space="0" w:color="000000"/>
              <w:left w:val="nil"/>
              <w:bottom w:val="single" w:sz="4" w:space="0" w:color="000000"/>
              <w:right w:val="single" w:sz="4" w:space="0" w:color="000000"/>
            </w:tcBorders>
            <w:shd w:val="clear" w:color="auto" w:fill="auto"/>
            <w:vAlign w:val="center"/>
          </w:tcPr>
          <w:p w14:paraId="58EB0BD0"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Статична рівновага (с)</w:t>
            </w:r>
          </w:p>
        </w:tc>
      </w:tr>
      <w:tr w:rsidR="0025671A" w14:paraId="3179D76C" w14:textId="77777777">
        <w:trPr>
          <w:trHeight w:val="1112"/>
        </w:trPr>
        <w:tc>
          <w:tcPr>
            <w:tcW w:w="84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314CBF8" w14:textId="77777777" w:rsidR="0025671A" w:rsidRDefault="0025671A">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tc>
        <w:tc>
          <w:tcPr>
            <w:tcW w:w="2215" w:type="dxa"/>
            <w:gridSpan w:val="2"/>
            <w:tcBorders>
              <w:top w:val="single" w:sz="4" w:space="0" w:color="000000"/>
              <w:left w:val="nil"/>
              <w:bottom w:val="single" w:sz="4" w:space="0" w:color="000000"/>
              <w:right w:val="single" w:sz="4" w:space="0" w:color="000000"/>
            </w:tcBorders>
            <w:shd w:val="clear" w:color="auto" w:fill="auto"/>
            <w:vAlign w:val="center"/>
          </w:tcPr>
          <w:p w14:paraId="1FE195FA"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М`язів передньої частини тулуба й ніг</w:t>
            </w:r>
          </w:p>
        </w:tc>
        <w:tc>
          <w:tcPr>
            <w:tcW w:w="2216" w:type="dxa"/>
            <w:gridSpan w:val="2"/>
            <w:tcBorders>
              <w:top w:val="single" w:sz="4" w:space="0" w:color="000000"/>
              <w:left w:val="nil"/>
              <w:bottom w:val="single" w:sz="4" w:space="0" w:color="000000"/>
              <w:right w:val="single" w:sz="4" w:space="0" w:color="000000"/>
            </w:tcBorders>
            <w:shd w:val="clear" w:color="auto" w:fill="auto"/>
            <w:vAlign w:val="center"/>
          </w:tcPr>
          <w:p w14:paraId="2C436A18"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М`язів передньої частини тулуба й ніг</w:t>
            </w:r>
          </w:p>
        </w:tc>
        <w:tc>
          <w:tcPr>
            <w:tcW w:w="2215" w:type="dxa"/>
            <w:gridSpan w:val="2"/>
            <w:tcBorders>
              <w:top w:val="single" w:sz="4" w:space="0" w:color="000000"/>
              <w:left w:val="nil"/>
              <w:bottom w:val="single" w:sz="4" w:space="0" w:color="000000"/>
              <w:right w:val="single" w:sz="4" w:space="0" w:color="000000"/>
            </w:tcBorders>
            <w:shd w:val="clear" w:color="auto" w:fill="auto"/>
            <w:vAlign w:val="center"/>
          </w:tcPr>
          <w:p w14:paraId="3149DF21"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із розплющеними очима</w:t>
            </w:r>
          </w:p>
        </w:tc>
        <w:tc>
          <w:tcPr>
            <w:tcW w:w="2216" w:type="dxa"/>
            <w:gridSpan w:val="2"/>
            <w:tcBorders>
              <w:top w:val="single" w:sz="4" w:space="0" w:color="000000"/>
              <w:left w:val="nil"/>
              <w:bottom w:val="single" w:sz="4" w:space="0" w:color="000000"/>
              <w:right w:val="single" w:sz="4" w:space="0" w:color="000000"/>
            </w:tcBorders>
            <w:shd w:val="clear" w:color="auto" w:fill="auto"/>
            <w:vAlign w:val="center"/>
          </w:tcPr>
          <w:p w14:paraId="7A01C89B"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із заплющеними очима</w:t>
            </w:r>
          </w:p>
        </w:tc>
      </w:tr>
      <w:tr w:rsidR="0025671A" w14:paraId="71ACA349" w14:textId="77777777">
        <w:trPr>
          <w:trHeight w:val="381"/>
        </w:trPr>
        <w:tc>
          <w:tcPr>
            <w:tcW w:w="84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A4A207A" w14:textId="77777777" w:rsidR="0025671A" w:rsidRDefault="0025671A">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tc>
        <w:tc>
          <w:tcPr>
            <w:tcW w:w="1028" w:type="dxa"/>
            <w:tcBorders>
              <w:top w:val="nil"/>
              <w:left w:val="nil"/>
              <w:bottom w:val="single" w:sz="4" w:space="0" w:color="000000"/>
              <w:right w:val="single" w:sz="4" w:space="0" w:color="000000"/>
            </w:tcBorders>
            <w:shd w:val="clear" w:color="auto" w:fill="auto"/>
            <w:vAlign w:val="center"/>
          </w:tcPr>
          <w:p w14:paraId="78CCC4C7"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w:t>
            </w:r>
          </w:p>
        </w:tc>
        <w:tc>
          <w:tcPr>
            <w:tcW w:w="1187" w:type="dxa"/>
            <w:tcBorders>
              <w:top w:val="nil"/>
              <w:left w:val="nil"/>
              <w:bottom w:val="single" w:sz="4" w:space="0" w:color="000000"/>
              <w:right w:val="single" w:sz="4" w:space="0" w:color="000000"/>
            </w:tcBorders>
            <w:shd w:val="clear" w:color="auto" w:fill="auto"/>
            <w:vAlign w:val="center"/>
          </w:tcPr>
          <w:p w14:paraId="62A60C0A"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Bahnschrift Light Condensed" w:eastAsia="Bahnschrift Light Condensed" w:hAnsi="Bahnschrift Light Condensed" w:cs="Bahnschrift Light Condensed"/>
                <w:color w:val="000000"/>
                <w:sz w:val="28"/>
                <w:szCs w:val="28"/>
              </w:rPr>
              <w:t>б</w:t>
            </w:r>
          </w:p>
        </w:tc>
        <w:tc>
          <w:tcPr>
            <w:tcW w:w="1028" w:type="dxa"/>
            <w:tcBorders>
              <w:top w:val="nil"/>
              <w:left w:val="nil"/>
              <w:bottom w:val="single" w:sz="4" w:space="0" w:color="000000"/>
              <w:right w:val="single" w:sz="4" w:space="0" w:color="000000"/>
            </w:tcBorders>
            <w:shd w:val="clear" w:color="auto" w:fill="auto"/>
            <w:vAlign w:val="center"/>
          </w:tcPr>
          <w:p w14:paraId="1728BE51"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w:t>
            </w:r>
          </w:p>
        </w:tc>
        <w:tc>
          <w:tcPr>
            <w:tcW w:w="1188" w:type="dxa"/>
            <w:tcBorders>
              <w:top w:val="nil"/>
              <w:left w:val="nil"/>
              <w:bottom w:val="single" w:sz="4" w:space="0" w:color="000000"/>
              <w:right w:val="single" w:sz="4" w:space="0" w:color="000000"/>
            </w:tcBorders>
            <w:shd w:val="clear" w:color="auto" w:fill="auto"/>
            <w:vAlign w:val="center"/>
          </w:tcPr>
          <w:p w14:paraId="1119E55F"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m</w:t>
            </w:r>
          </w:p>
        </w:tc>
        <w:tc>
          <w:tcPr>
            <w:tcW w:w="827" w:type="dxa"/>
            <w:tcBorders>
              <w:top w:val="nil"/>
              <w:left w:val="nil"/>
              <w:bottom w:val="single" w:sz="4" w:space="0" w:color="000000"/>
              <w:right w:val="single" w:sz="4" w:space="0" w:color="000000"/>
            </w:tcBorders>
            <w:shd w:val="clear" w:color="auto" w:fill="auto"/>
            <w:vAlign w:val="center"/>
          </w:tcPr>
          <w:p w14:paraId="29812CFA"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w:t>
            </w:r>
          </w:p>
        </w:tc>
        <w:tc>
          <w:tcPr>
            <w:tcW w:w="1388" w:type="dxa"/>
            <w:tcBorders>
              <w:top w:val="nil"/>
              <w:left w:val="nil"/>
              <w:bottom w:val="single" w:sz="4" w:space="0" w:color="000000"/>
              <w:right w:val="single" w:sz="4" w:space="0" w:color="000000"/>
            </w:tcBorders>
            <w:shd w:val="clear" w:color="auto" w:fill="auto"/>
            <w:vAlign w:val="center"/>
          </w:tcPr>
          <w:p w14:paraId="5BA746E3"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m</w:t>
            </w:r>
          </w:p>
        </w:tc>
        <w:tc>
          <w:tcPr>
            <w:tcW w:w="827" w:type="dxa"/>
            <w:tcBorders>
              <w:top w:val="nil"/>
              <w:left w:val="nil"/>
              <w:bottom w:val="single" w:sz="4" w:space="0" w:color="000000"/>
              <w:right w:val="single" w:sz="4" w:space="0" w:color="000000"/>
            </w:tcBorders>
            <w:shd w:val="clear" w:color="auto" w:fill="auto"/>
            <w:vAlign w:val="center"/>
          </w:tcPr>
          <w:p w14:paraId="3B576B06"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w:t>
            </w:r>
          </w:p>
        </w:tc>
        <w:tc>
          <w:tcPr>
            <w:tcW w:w="1389" w:type="dxa"/>
            <w:tcBorders>
              <w:top w:val="nil"/>
              <w:left w:val="nil"/>
              <w:bottom w:val="single" w:sz="4" w:space="0" w:color="000000"/>
              <w:right w:val="single" w:sz="4" w:space="0" w:color="000000"/>
            </w:tcBorders>
            <w:shd w:val="clear" w:color="auto" w:fill="auto"/>
            <w:vAlign w:val="center"/>
          </w:tcPr>
          <w:p w14:paraId="23B1A8FC"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m</w:t>
            </w:r>
          </w:p>
        </w:tc>
      </w:tr>
      <w:tr w:rsidR="0025671A" w14:paraId="0807C89A" w14:textId="77777777">
        <w:trPr>
          <w:trHeight w:val="381"/>
        </w:trPr>
        <w:tc>
          <w:tcPr>
            <w:tcW w:w="84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7011C43" w14:textId="77777777" w:rsidR="0025671A" w:rsidRDefault="0025671A">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tc>
        <w:tc>
          <w:tcPr>
            <w:tcW w:w="8862" w:type="dxa"/>
            <w:gridSpan w:val="8"/>
            <w:tcBorders>
              <w:top w:val="single" w:sz="4" w:space="0" w:color="000000"/>
              <w:left w:val="nil"/>
              <w:bottom w:val="single" w:sz="4" w:space="0" w:color="000000"/>
              <w:right w:val="single" w:sz="4" w:space="0" w:color="000000"/>
            </w:tcBorders>
            <w:shd w:val="clear" w:color="auto" w:fill="auto"/>
            <w:vAlign w:val="center"/>
          </w:tcPr>
          <w:p w14:paraId="50A5E9D1" w14:textId="77777777" w:rsidR="0025671A" w:rsidRDefault="008B4D2B">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Хлопчики (n=3</w:t>
            </w:r>
            <w:r w:rsidR="00D74137">
              <w:rPr>
                <w:rFonts w:ascii="Times New Roman" w:eastAsia="Times New Roman" w:hAnsi="Times New Roman" w:cs="Times New Roman"/>
                <w:color w:val="000000"/>
                <w:sz w:val="28"/>
                <w:szCs w:val="28"/>
              </w:rPr>
              <w:t>0)</w:t>
            </w:r>
          </w:p>
        </w:tc>
      </w:tr>
      <w:tr w:rsidR="0025671A" w14:paraId="03519760" w14:textId="77777777">
        <w:trPr>
          <w:trHeight w:val="381"/>
        </w:trPr>
        <w:tc>
          <w:tcPr>
            <w:tcW w:w="843" w:type="dxa"/>
            <w:tcBorders>
              <w:top w:val="nil"/>
              <w:left w:val="single" w:sz="4" w:space="0" w:color="000000"/>
              <w:bottom w:val="single" w:sz="4" w:space="0" w:color="000000"/>
              <w:right w:val="single" w:sz="4" w:space="0" w:color="000000"/>
            </w:tcBorders>
            <w:shd w:val="clear" w:color="auto" w:fill="auto"/>
            <w:vAlign w:val="center"/>
          </w:tcPr>
          <w:p w14:paraId="2DA76EF9"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028" w:type="dxa"/>
            <w:tcBorders>
              <w:top w:val="nil"/>
              <w:left w:val="nil"/>
              <w:bottom w:val="single" w:sz="4" w:space="0" w:color="000000"/>
              <w:right w:val="single" w:sz="4" w:space="0" w:color="000000"/>
            </w:tcBorders>
            <w:shd w:val="clear" w:color="auto" w:fill="auto"/>
            <w:vAlign w:val="center"/>
          </w:tcPr>
          <w:p w14:paraId="0B5914B0"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101</w:t>
            </w:r>
          </w:p>
        </w:tc>
        <w:tc>
          <w:tcPr>
            <w:tcW w:w="1187" w:type="dxa"/>
            <w:tcBorders>
              <w:top w:val="nil"/>
              <w:left w:val="nil"/>
              <w:bottom w:val="single" w:sz="4" w:space="0" w:color="000000"/>
              <w:right w:val="single" w:sz="4" w:space="0" w:color="000000"/>
            </w:tcBorders>
            <w:shd w:val="clear" w:color="auto" w:fill="auto"/>
            <w:vAlign w:val="center"/>
          </w:tcPr>
          <w:p w14:paraId="737B4953"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0,01</w:t>
            </w:r>
          </w:p>
        </w:tc>
        <w:tc>
          <w:tcPr>
            <w:tcW w:w="1028" w:type="dxa"/>
            <w:tcBorders>
              <w:top w:val="nil"/>
              <w:left w:val="nil"/>
              <w:bottom w:val="single" w:sz="4" w:space="0" w:color="000000"/>
              <w:right w:val="single" w:sz="4" w:space="0" w:color="000000"/>
            </w:tcBorders>
            <w:shd w:val="clear" w:color="auto" w:fill="auto"/>
            <w:vAlign w:val="center"/>
          </w:tcPr>
          <w:p w14:paraId="5BB8E77E"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105</w:t>
            </w:r>
          </w:p>
        </w:tc>
        <w:tc>
          <w:tcPr>
            <w:tcW w:w="1188" w:type="dxa"/>
            <w:tcBorders>
              <w:top w:val="nil"/>
              <w:left w:val="nil"/>
              <w:bottom w:val="single" w:sz="4" w:space="0" w:color="000000"/>
              <w:right w:val="single" w:sz="4" w:space="0" w:color="000000"/>
            </w:tcBorders>
            <w:shd w:val="clear" w:color="auto" w:fill="auto"/>
            <w:vAlign w:val="center"/>
          </w:tcPr>
          <w:p w14:paraId="5F95ADCE"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0,11</w:t>
            </w:r>
          </w:p>
        </w:tc>
        <w:tc>
          <w:tcPr>
            <w:tcW w:w="827" w:type="dxa"/>
            <w:tcBorders>
              <w:top w:val="nil"/>
              <w:left w:val="nil"/>
              <w:bottom w:val="single" w:sz="4" w:space="0" w:color="000000"/>
              <w:right w:val="single" w:sz="4" w:space="0" w:color="000000"/>
            </w:tcBorders>
            <w:shd w:val="clear" w:color="auto" w:fill="auto"/>
            <w:vAlign w:val="center"/>
          </w:tcPr>
          <w:p w14:paraId="0C399A4C"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1388" w:type="dxa"/>
            <w:tcBorders>
              <w:top w:val="nil"/>
              <w:left w:val="nil"/>
              <w:bottom w:val="single" w:sz="4" w:space="0" w:color="000000"/>
              <w:right w:val="single" w:sz="4" w:space="0" w:color="000000"/>
            </w:tcBorders>
            <w:shd w:val="clear" w:color="auto" w:fill="auto"/>
            <w:vAlign w:val="center"/>
          </w:tcPr>
          <w:p w14:paraId="18E0FCA6"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0,03</w:t>
            </w:r>
          </w:p>
        </w:tc>
        <w:tc>
          <w:tcPr>
            <w:tcW w:w="827" w:type="dxa"/>
            <w:tcBorders>
              <w:top w:val="nil"/>
              <w:left w:val="nil"/>
              <w:bottom w:val="single" w:sz="4" w:space="0" w:color="000000"/>
              <w:right w:val="single" w:sz="4" w:space="0" w:color="000000"/>
            </w:tcBorders>
            <w:shd w:val="clear" w:color="auto" w:fill="auto"/>
            <w:vAlign w:val="center"/>
          </w:tcPr>
          <w:p w14:paraId="0A493823"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389" w:type="dxa"/>
            <w:tcBorders>
              <w:top w:val="nil"/>
              <w:left w:val="nil"/>
              <w:bottom w:val="single" w:sz="4" w:space="0" w:color="000000"/>
              <w:right w:val="single" w:sz="4" w:space="0" w:color="000000"/>
            </w:tcBorders>
            <w:shd w:val="clear" w:color="auto" w:fill="auto"/>
            <w:vAlign w:val="center"/>
          </w:tcPr>
          <w:p w14:paraId="35FB434C"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0,09</w:t>
            </w:r>
          </w:p>
        </w:tc>
      </w:tr>
      <w:tr w:rsidR="0025671A" w14:paraId="450DB2B7" w14:textId="77777777">
        <w:trPr>
          <w:trHeight w:val="381"/>
        </w:trPr>
        <w:tc>
          <w:tcPr>
            <w:tcW w:w="843" w:type="dxa"/>
            <w:tcBorders>
              <w:top w:val="nil"/>
              <w:left w:val="single" w:sz="4" w:space="0" w:color="000000"/>
              <w:bottom w:val="single" w:sz="4" w:space="0" w:color="000000"/>
              <w:right w:val="single" w:sz="4" w:space="0" w:color="000000"/>
            </w:tcBorders>
            <w:shd w:val="clear" w:color="auto" w:fill="auto"/>
            <w:vAlign w:val="center"/>
          </w:tcPr>
          <w:p w14:paraId="6C28EC67"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1028" w:type="dxa"/>
            <w:tcBorders>
              <w:top w:val="nil"/>
              <w:left w:val="nil"/>
              <w:bottom w:val="single" w:sz="4" w:space="0" w:color="000000"/>
              <w:right w:val="single" w:sz="4" w:space="0" w:color="000000"/>
            </w:tcBorders>
            <w:shd w:val="clear" w:color="auto" w:fill="auto"/>
            <w:vAlign w:val="center"/>
          </w:tcPr>
          <w:p w14:paraId="790223E7"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112</w:t>
            </w:r>
          </w:p>
        </w:tc>
        <w:tc>
          <w:tcPr>
            <w:tcW w:w="1187" w:type="dxa"/>
            <w:tcBorders>
              <w:top w:val="nil"/>
              <w:left w:val="nil"/>
              <w:bottom w:val="single" w:sz="4" w:space="0" w:color="000000"/>
              <w:right w:val="single" w:sz="4" w:space="0" w:color="000000"/>
            </w:tcBorders>
            <w:shd w:val="clear" w:color="auto" w:fill="auto"/>
            <w:vAlign w:val="center"/>
          </w:tcPr>
          <w:p w14:paraId="622848D5"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0,06</w:t>
            </w:r>
          </w:p>
        </w:tc>
        <w:tc>
          <w:tcPr>
            <w:tcW w:w="1028" w:type="dxa"/>
            <w:tcBorders>
              <w:top w:val="nil"/>
              <w:left w:val="nil"/>
              <w:bottom w:val="single" w:sz="4" w:space="0" w:color="000000"/>
              <w:right w:val="single" w:sz="4" w:space="0" w:color="000000"/>
            </w:tcBorders>
            <w:shd w:val="clear" w:color="auto" w:fill="auto"/>
            <w:vAlign w:val="center"/>
          </w:tcPr>
          <w:p w14:paraId="3E7EED38"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114</w:t>
            </w:r>
          </w:p>
        </w:tc>
        <w:tc>
          <w:tcPr>
            <w:tcW w:w="1188" w:type="dxa"/>
            <w:tcBorders>
              <w:top w:val="nil"/>
              <w:left w:val="nil"/>
              <w:bottom w:val="single" w:sz="4" w:space="0" w:color="000000"/>
              <w:right w:val="single" w:sz="4" w:space="0" w:color="000000"/>
            </w:tcBorders>
            <w:shd w:val="clear" w:color="auto" w:fill="auto"/>
            <w:vAlign w:val="center"/>
          </w:tcPr>
          <w:p w14:paraId="265F4F04"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0,08</w:t>
            </w:r>
          </w:p>
        </w:tc>
        <w:tc>
          <w:tcPr>
            <w:tcW w:w="827" w:type="dxa"/>
            <w:tcBorders>
              <w:top w:val="nil"/>
              <w:left w:val="nil"/>
              <w:bottom w:val="single" w:sz="4" w:space="0" w:color="000000"/>
              <w:right w:val="single" w:sz="4" w:space="0" w:color="000000"/>
            </w:tcBorders>
            <w:shd w:val="clear" w:color="auto" w:fill="auto"/>
            <w:vAlign w:val="center"/>
          </w:tcPr>
          <w:p w14:paraId="316725D8"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c>
          <w:tcPr>
            <w:tcW w:w="1388" w:type="dxa"/>
            <w:tcBorders>
              <w:top w:val="nil"/>
              <w:left w:val="nil"/>
              <w:bottom w:val="single" w:sz="4" w:space="0" w:color="000000"/>
              <w:right w:val="single" w:sz="4" w:space="0" w:color="000000"/>
            </w:tcBorders>
            <w:shd w:val="clear" w:color="auto" w:fill="auto"/>
            <w:vAlign w:val="center"/>
          </w:tcPr>
          <w:p w14:paraId="5D239DB1"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0,09</w:t>
            </w:r>
          </w:p>
        </w:tc>
        <w:tc>
          <w:tcPr>
            <w:tcW w:w="827" w:type="dxa"/>
            <w:tcBorders>
              <w:top w:val="nil"/>
              <w:left w:val="nil"/>
              <w:bottom w:val="single" w:sz="4" w:space="0" w:color="000000"/>
              <w:right w:val="single" w:sz="4" w:space="0" w:color="000000"/>
            </w:tcBorders>
            <w:shd w:val="clear" w:color="auto" w:fill="auto"/>
            <w:vAlign w:val="center"/>
          </w:tcPr>
          <w:p w14:paraId="3A65816B"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389" w:type="dxa"/>
            <w:tcBorders>
              <w:top w:val="nil"/>
              <w:left w:val="nil"/>
              <w:bottom w:val="single" w:sz="4" w:space="0" w:color="000000"/>
              <w:right w:val="single" w:sz="4" w:space="0" w:color="000000"/>
            </w:tcBorders>
            <w:shd w:val="clear" w:color="auto" w:fill="auto"/>
            <w:vAlign w:val="center"/>
          </w:tcPr>
          <w:p w14:paraId="6322B1D9"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w:t>
            </w:r>
          </w:p>
        </w:tc>
      </w:tr>
      <w:tr w:rsidR="0025671A" w14:paraId="4CBA7ABE" w14:textId="77777777">
        <w:trPr>
          <w:trHeight w:val="381"/>
        </w:trPr>
        <w:tc>
          <w:tcPr>
            <w:tcW w:w="843" w:type="dxa"/>
            <w:tcBorders>
              <w:top w:val="nil"/>
              <w:left w:val="single" w:sz="4" w:space="0" w:color="000000"/>
              <w:bottom w:val="single" w:sz="4" w:space="0" w:color="000000"/>
              <w:right w:val="single" w:sz="4" w:space="0" w:color="000000"/>
            </w:tcBorders>
            <w:shd w:val="clear" w:color="auto" w:fill="auto"/>
            <w:vAlign w:val="center"/>
          </w:tcPr>
          <w:p w14:paraId="398DEB00"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1028" w:type="dxa"/>
            <w:tcBorders>
              <w:top w:val="nil"/>
              <w:left w:val="nil"/>
              <w:bottom w:val="single" w:sz="4" w:space="0" w:color="000000"/>
              <w:right w:val="single" w:sz="4" w:space="0" w:color="000000"/>
            </w:tcBorders>
            <w:shd w:val="clear" w:color="auto" w:fill="auto"/>
            <w:vAlign w:val="center"/>
          </w:tcPr>
          <w:p w14:paraId="147D34A5"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121</w:t>
            </w:r>
          </w:p>
        </w:tc>
        <w:tc>
          <w:tcPr>
            <w:tcW w:w="1187" w:type="dxa"/>
            <w:tcBorders>
              <w:top w:val="nil"/>
              <w:left w:val="nil"/>
              <w:bottom w:val="single" w:sz="4" w:space="0" w:color="000000"/>
              <w:right w:val="single" w:sz="4" w:space="0" w:color="000000"/>
            </w:tcBorders>
            <w:shd w:val="clear" w:color="auto" w:fill="auto"/>
            <w:vAlign w:val="center"/>
          </w:tcPr>
          <w:p w14:paraId="22596906"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0,11</w:t>
            </w:r>
          </w:p>
        </w:tc>
        <w:tc>
          <w:tcPr>
            <w:tcW w:w="1028" w:type="dxa"/>
            <w:tcBorders>
              <w:top w:val="nil"/>
              <w:left w:val="nil"/>
              <w:bottom w:val="single" w:sz="4" w:space="0" w:color="000000"/>
              <w:right w:val="single" w:sz="4" w:space="0" w:color="000000"/>
            </w:tcBorders>
            <w:shd w:val="clear" w:color="auto" w:fill="auto"/>
            <w:vAlign w:val="center"/>
          </w:tcPr>
          <w:p w14:paraId="5B1EBECE"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123</w:t>
            </w:r>
          </w:p>
        </w:tc>
        <w:tc>
          <w:tcPr>
            <w:tcW w:w="1188" w:type="dxa"/>
            <w:tcBorders>
              <w:top w:val="nil"/>
              <w:left w:val="nil"/>
              <w:bottom w:val="single" w:sz="4" w:space="0" w:color="000000"/>
              <w:right w:val="single" w:sz="4" w:space="0" w:color="000000"/>
            </w:tcBorders>
            <w:shd w:val="clear" w:color="auto" w:fill="auto"/>
            <w:vAlign w:val="center"/>
          </w:tcPr>
          <w:p w14:paraId="458AC472"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0,13</w:t>
            </w:r>
          </w:p>
        </w:tc>
        <w:tc>
          <w:tcPr>
            <w:tcW w:w="827" w:type="dxa"/>
            <w:tcBorders>
              <w:top w:val="nil"/>
              <w:left w:val="nil"/>
              <w:bottom w:val="single" w:sz="4" w:space="0" w:color="000000"/>
              <w:right w:val="single" w:sz="4" w:space="0" w:color="000000"/>
            </w:tcBorders>
            <w:shd w:val="clear" w:color="auto" w:fill="auto"/>
            <w:vAlign w:val="center"/>
          </w:tcPr>
          <w:p w14:paraId="779F1A8F"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1388" w:type="dxa"/>
            <w:tcBorders>
              <w:top w:val="nil"/>
              <w:left w:val="nil"/>
              <w:bottom w:val="single" w:sz="4" w:space="0" w:color="000000"/>
              <w:right w:val="single" w:sz="4" w:space="0" w:color="000000"/>
            </w:tcBorders>
            <w:shd w:val="clear" w:color="auto" w:fill="auto"/>
            <w:vAlign w:val="center"/>
          </w:tcPr>
          <w:p w14:paraId="2DCAD54A"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0,06</w:t>
            </w:r>
          </w:p>
        </w:tc>
        <w:tc>
          <w:tcPr>
            <w:tcW w:w="827" w:type="dxa"/>
            <w:tcBorders>
              <w:top w:val="nil"/>
              <w:left w:val="nil"/>
              <w:bottom w:val="single" w:sz="4" w:space="0" w:color="000000"/>
              <w:right w:val="single" w:sz="4" w:space="0" w:color="000000"/>
            </w:tcBorders>
            <w:shd w:val="clear" w:color="auto" w:fill="auto"/>
            <w:vAlign w:val="center"/>
          </w:tcPr>
          <w:p w14:paraId="59653CBE"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389" w:type="dxa"/>
            <w:tcBorders>
              <w:top w:val="nil"/>
              <w:left w:val="nil"/>
              <w:bottom w:val="single" w:sz="4" w:space="0" w:color="000000"/>
              <w:right w:val="single" w:sz="4" w:space="0" w:color="000000"/>
            </w:tcBorders>
            <w:shd w:val="clear" w:color="auto" w:fill="auto"/>
            <w:vAlign w:val="center"/>
          </w:tcPr>
          <w:p w14:paraId="1BD81C18"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0,03</w:t>
            </w:r>
          </w:p>
        </w:tc>
      </w:tr>
      <w:tr w:rsidR="0025671A" w14:paraId="25B7DF8E" w14:textId="77777777">
        <w:trPr>
          <w:trHeight w:val="381"/>
        </w:trPr>
        <w:tc>
          <w:tcPr>
            <w:tcW w:w="843" w:type="dxa"/>
            <w:tcBorders>
              <w:top w:val="nil"/>
              <w:left w:val="single" w:sz="4" w:space="0" w:color="000000"/>
              <w:bottom w:val="single" w:sz="4" w:space="0" w:color="000000"/>
              <w:right w:val="single" w:sz="4" w:space="0" w:color="000000"/>
            </w:tcBorders>
            <w:shd w:val="clear" w:color="auto" w:fill="auto"/>
            <w:vAlign w:val="center"/>
          </w:tcPr>
          <w:p w14:paraId="2903A371"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028" w:type="dxa"/>
            <w:tcBorders>
              <w:top w:val="nil"/>
              <w:left w:val="nil"/>
              <w:bottom w:val="single" w:sz="4" w:space="0" w:color="000000"/>
              <w:right w:val="single" w:sz="4" w:space="0" w:color="000000"/>
            </w:tcBorders>
            <w:shd w:val="clear" w:color="auto" w:fill="auto"/>
            <w:vAlign w:val="center"/>
          </w:tcPr>
          <w:p w14:paraId="0BA1E66B"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129</w:t>
            </w:r>
          </w:p>
        </w:tc>
        <w:tc>
          <w:tcPr>
            <w:tcW w:w="1187" w:type="dxa"/>
            <w:tcBorders>
              <w:top w:val="nil"/>
              <w:left w:val="nil"/>
              <w:bottom w:val="single" w:sz="4" w:space="0" w:color="000000"/>
              <w:right w:val="single" w:sz="4" w:space="0" w:color="000000"/>
            </w:tcBorders>
            <w:shd w:val="clear" w:color="auto" w:fill="auto"/>
            <w:vAlign w:val="center"/>
          </w:tcPr>
          <w:p w14:paraId="5D114B78"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0,09</w:t>
            </w:r>
          </w:p>
        </w:tc>
        <w:tc>
          <w:tcPr>
            <w:tcW w:w="1028" w:type="dxa"/>
            <w:tcBorders>
              <w:top w:val="nil"/>
              <w:left w:val="nil"/>
              <w:bottom w:val="single" w:sz="4" w:space="0" w:color="000000"/>
              <w:right w:val="single" w:sz="4" w:space="0" w:color="000000"/>
            </w:tcBorders>
            <w:shd w:val="clear" w:color="auto" w:fill="auto"/>
            <w:vAlign w:val="center"/>
          </w:tcPr>
          <w:p w14:paraId="7B892810"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130</w:t>
            </w:r>
          </w:p>
        </w:tc>
        <w:tc>
          <w:tcPr>
            <w:tcW w:w="1188" w:type="dxa"/>
            <w:tcBorders>
              <w:top w:val="nil"/>
              <w:left w:val="nil"/>
              <w:bottom w:val="single" w:sz="4" w:space="0" w:color="000000"/>
              <w:right w:val="single" w:sz="4" w:space="0" w:color="000000"/>
            </w:tcBorders>
            <w:shd w:val="clear" w:color="auto" w:fill="auto"/>
            <w:vAlign w:val="center"/>
          </w:tcPr>
          <w:p w14:paraId="57D2D61D"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0,09</w:t>
            </w:r>
          </w:p>
        </w:tc>
        <w:tc>
          <w:tcPr>
            <w:tcW w:w="827" w:type="dxa"/>
            <w:tcBorders>
              <w:top w:val="nil"/>
              <w:left w:val="nil"/>
              <w:bottom w:val="single" w:sz="4" w:space="0" w:color="000000"/>
              <w:right w:val="single" w:sz="4" w:space="0" w:color="000000"/>
            </w:tcBorders>
            <w:shd w:val="clear" w:color="auto" w:fill="auto"/>
            <w:vAlign w:val="center"/>
          </w:tcPr>
          <w:p w14:paraId="4E6CEA61"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w:t>
            </w:r>
          </w:p>
        </w:tc>
        <w:tc>
          <w:tcPr>
            <w:tcW w:w="1388" w:type="dxa"/>
            <w:tcBorders>
              <w:top w:val="nil"/>
              <w:left w:val="nil"/>
              <w:bottom w:val="single" w:sz="4" w:space="0" w:color="000000"/>
              <w:right w:val="single" w:sz="4" w:space="0" w:color="000000"/>
            </w:tcBorders>
            <w:shd w:val="clear" w:color="auto" w:fill="auto"/>
            <w:vAlign w:val="center"/>
          </w:tcPr>
          <w:p w14:paraId="43686EE5"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0,12</w:t>
            </w:r>
          </w:p>
        </w:tc>
        <w:tc>
          <w:tcPr>
            <w:tcW w:w="827" w:type="dxa"/>
            <w:tcBorders>
              <w:top w:val="nil"/>
              <w:left w:val="nil"/>
              <w:bottom w:val="single" w:sz="4" w:space="0" w:color="000000"/>
              <w:right w:val="single" w:sz="4" w:space="0" w:color="000000"/>
            </w:tcBorders>
            <w:shd w:val="clear" w:color="auto" w:fill="auto"/>
            <w:vAlign w:val="center"/>
          </w:tcPr>
          <w:p w14:paraId="18731100"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1389" w:type="dxa"/>
            <w:tcBorders>
              <w:top w:val="nil"/>
              <w:left w:val="nil"/>
              <w:bottom w:val="single" w:sz="4" w:space="0" w:color="000000"/>
              <w:right w:val="single" w:sz="4" w:space="0" w:color="000000"/>
            </w:tcBorders>
            <w:shd w:val="clear" w:color="auto" w:fill="auto"/>
            <w:vAlign w:val="center"/>
          </w:tcPr>
          <w:p w14:paraId="115FDD42"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0,12</w:t>
            </w:r>
          </w:p>
        </w:tc>
      </w:tr>
      <w:tr w:rsidR="0025671A" w14:paraId="43287544" w14:textId="77777777">
        <w:trPr>
          <w:trHeight w:val="381"/>
        </w:trPr>
        <w:tc>
          <w:tcPr>
            <w:tcW w:w="9705"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14:paraId="1A08155E" w14:textId="77777777" w:rsidR="0025671A" w:rsidRDefault="008B4D2B">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Дівчатка  (n=3</w:t>
            </w:r>
            <w:r w:rsidR="00D74137">
              <w:rPr>
                <w:rFonts w:ascii="Times New Roman" w:eastAsia="Times New Roman" w:hAnsi="Times New Roman" w:cs="Times New Roman"/>
                <w:color w:val="000000"/>
                <w:sz w:val="28"/>
                <w:szCs w:val="28"/>
              </w:rPr>
              <w:t>0)</w:t>
            </w:r>
          </w:p>
        </w:tc>
      </w:tr>
      <w:tr w:rsidR="0025671A" w14:paraId="41A9BF0C" w14:textId="77777777">
        <w:trPr>
          <w:trHeight w:val="381"/>
        </w:trPr>
        <w:tc>
          <w:tcPr>
            <w:tcW w:w="843" w:type="dxa"/>
            <w:tcBorders>
              <w:top w:val="nil"/>
              <w:left w:val="single" w:sz="4" w:space="0" w:color="000000"/>
              <w:bottom w:val="single" w:sz="4" w:space="0" w:color="000000"/>
              <w:right w:val="single" w:sz="4" w:space="0" w:color="000000"/>
            </w:tcBorders>
            <w:shd w:val="clear" w:color="auto" w:fill="auto"/>
            <w:vAlign w:val="center"/>
          </w:tcPr>
          <w:p w14:paraId="02277B70"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028" w:type="dxa"/>
            <w:tcBorders>
              <w:top w:val="nil"/>
              <w:left w:val="nil"/>
              <w:bottom w:val="single" w:sz="4" w:space="0" w:color="000000"/>
              <w:right w:val="single" w:sz="4" w:space="0" w:color="000000"/>
            </w:tcBorders>
            <w:shd w:val="clear" w:color="auto" w:fill="auto"/>
            <w:vAlign w:val="center"/>
          </w:tcPr>
          <w:p w14:paraId="3FB720F9"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98</w:t>
            </w:r>
          </w:p>
        </w:tc>
        <w:tc>
          <w:tcPr>
            <w:tcW w:w="1187" w:type="dxa"/>
            <w:tcBorders>
              <w:top w:val="nil"/>
              <w:left w:val="nil"/>
              <w:bottom w:val="single" w:sz="4" w:space="0" w:color="000000"/>
              <w:right w:val="single" w:sz="4" w:space="0" w:color="000000"/>
            </w:tcBorders>
            <w:shd w:val="clear" w:color="auto" w:fill="auto"/>
            <w:vAlign w:val="center"/>
          </w:tcPr>
          <w:p w14:paraId="6F78CD85"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3,43</w:t>
            </w:r>
          </w:p>
        </w:tc>
        <w:tc>
          <w:tcPr>
            <w:tcW w:w="1028" w:type="dxa"/>
            <w:tcBorders>
              <w:top w:val="nil"/>
              <w:left w:val="nil"/>
              <w:bottom w:val="single" w:sz="4" w:space="0" w:color="000000"/>
              <w:right w:val="single" w:sz="4" w:space="0" w:color="000000"/>
            </w:tcBorders>
            <w:shd w:val="clear" w:color="auto" w:fill="auto"/>
            <w:vAlign w:val="center"/>
          </w:tcPr>
          <w:p w14:paraId="087148BA"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w:t>
            </w:r>
          </w:p>
        </w:tc>
        <w:tc>
          <w:tcPr>
            <w:tcW w:w="1188" w:type="dxa"/>
            <w:tcBorders>
              <w:top w:val="nil"/>
              <w:left w:val="nil"/>
              <w:bottom w:val="single" w:sz="4" w:space="0" w:color="000000"/>
              <w:right w:val="single" w:sz="4" w:space="0" w:color="000000"/>
            </w:tcBorders>
            <w:shd w:val="clear" w:color="auto" w:fill="auto"/>
            <w:vAlign w:val="center"/>
          </w:tcPr>
          <w:p w14:paraId="7CFFC023"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2,64</w:t>
            </w:r>
          </w:p>
        </w:tc>
        <w:tc>
          <w:tcPr>
            <w:tcW w:w="827" w:type="dxa"/>
            <w:tcBorders>
              <w:top w:val="nil"/>
              <w:left w:val="nil"/>
              <w:bottom w:val="single" w:sz="4" w:space="0" w:color="000000"/>
              <w:right w:val="single" w:sz="4" w:space="0" w:color="000000"/>
            </w:tcBorders>
            <w:shd w:val="clear" w:color="auto" w:fill="auto"/>
            <w:vAlign w:val="center"/>
          </w:tcPr>
          <w:p w14:paraId="7A7B043C"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388" w:type="dxa"/>
            <w:tcBorders>
              <w:top w:val="nil"/>
              <w:left w:val="nil"/>
              <w:bottom w:val="single" w:sz="4" w:space="0" w:color="000000"/>
              <w:right w:val="single" w:sz="4" w:space="0" w:color="000000"/>
            </w:tcBorders>
            <w:shd w:val="clear" w:color="auto" w:fill="auto"/>
            <w:vAlign w:val="center"/>
          </w:tcPr>
          <w:p w14:paraId="5C5E6602"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1,76</w:t>
            </w:r>
          </w:p>
        </w:tc>
        <w:tc>
          <w:tcPr>
            <w:tcW w:w="827" w:type="dxa"/>
            <w:tcBorders>
              <w:top w:val="nil"/>
              <w:left w:val="nil"/>
              <w:bottom w:val="single" w:sz="4" w:space="0" w:color="000000"/>
              <w:right w:val="single" w:sz="4" w:space="0" w:color="000000"/>
            </w:tcBorders>
            <w:shd w:val="clear" w:color="auto" w:fill="auto"/>
            <w:vAlign w:val="center"/>
          </w:tcPr>
          <w:p w14:paraId="2C7C5071"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389" w:type="dxa"/>
            <w:tcBorders>
              <w:top w:val="nil"/>
              <w:left w:val="nil"/>
              <w:bottom w:val="single" w:sz="4" w:space="0" w:color="000000"/>
              <w:right w:val="single" w:sz="4" w:space="0" w:color="000000"/>
            </w:tcBorders>
            <w:shd w:val="clear" w:color="auto" w:fill="auto"/>
            <w:vAlign w:val="center"/>
          </w:tcPr>
          <w:p w14:paraId="3826C03D"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0,92</w:t>
            </w:r>
          </w:p>
        </w:tc>
      </w:tr>
      <w:tr w:rsidR="0025671A" w14:paraId="4876DD83" w14:textId="77777777">
        <w:trPr>
          <w:trHeight w:val="381"/>
        </w:trPr>
        <w:tc>
          <w:tcPr>
            <w:tcW w:w="843" w:type="dxa"/>
            <w:tcBorders>
              <w:top w:val="nil"/>
              <w:left w:val="single" w:sz="4" w:space="0" w:color="000000"/>
              <w:bottom w:val="single" w:sz="4" w:space="0" w:color="000000"/>
              <w:right w:val="single" w:sz="4" w:space="0" w:color="000000"/>
            </w:tcBorders>
            <w:shd w:val="clear" w:color="auto" w:fill="auto"/>
            <w:vAlign w:val="center"/>
          </w:tcPr>
          <w:p w14:paraId="281315DD"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1028" w:type="dxa"/>
            <w:tcBorders>
              <w:top w:val="nil"/>
              <w:left w:val="nil"/>
              <w:bottom w:val="single" w:sz="4" w:space="0" w:color="000000"/>
              <w:right w:val="single" w:sz="4" w:space="0" w:color="000000"/>
            </w:tcBorders>
            <w:shd w:val="clear" w:color="auto" w:fill="auto"/>
            <w:vAlign w:val="center"/>
          </w:tcPr>
          <w:p w14:paraId="7F3A8557"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101</w:t>
            </w:r>
          </w:p>
        </w:tc>
        <w:tc>
          <w:tcPr>
            <w:tcW w:w="1187" w:type="dxa"/>
            <w:tcBorders>
              <w:top w:val="nil"/>
              <w:left w:val="nil"/>
              <w:bottom w:val="single" w:sz="4" w:space="0" w:color="000000"/>
              <w:right w:val="single" w:sz="4" w:space="0" w:color="000000"/>
            </w:tcBorders>
            <w:shd w:val="clear" w:color="auto" w:fill="auto"/>
            <w:vAlign w:val="center"/>
          </w:tcPr>
          <w:p w14:paraId="031A5471"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2,48</w:t>
            </w:r>
          </w:p>
        </w:tc>
        <w:tc>
          <w:tcPr>
            <w:tcW w:w="1028" w:type="dxa"/>
            <w:tcBorders>
              <w:top w:val="nil"/>
              <w:left w:val="nil"/>
              <w:bottom w:val="single" w:sz="4" w:space="0" w:color="000000"/>
              <w:right w:val="single" w:sz="4" w:space="0" w:color="000000"/>
            </w:tcBorders>
            <w:shd w:val="clear" w:color="auto" w:fill="auto"/>
            <w:vAlign w:val="center"/>
          </w:tcPr>
          <w:p w14:paraId="24263404"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103</w:t>
            </w:r>
          </w:p>
        </w:tc>
        <w:tc>
          <w:tcPr>
            <w:tcW w:w="1188" w:type="dxa"/>
            <w:tcBorders>
              <w:top w:val="nil"/>
              <w:left w:val="nil"/>
              <w:bottom w:val="single" w:sz="4" w:space="0" w:color="000000"/>
              <w:right w:val="single" w:sz="4" w:space="0" w:color="000000"/>
            </w:tcBorders>
            <w:shd w:val="clear" w:color="auto" w:fill="auto"/>
            <w:vAlign w:val="center"/>
          </w:tcPr>
          <w:p w14:paraId="68A64370"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2,47</w:t>
            </w:r>
          </w:p>
        </w:tc>
        <w:tc>
          <w:tcPr>
            <w:tcW w:w="827" w:type="dxa"/>
            <w:tcBorders>
              <w:top w:val="nil"/>
              <w:left w:val="nil"/>
              <w:bottom w:val="single" w:sz="4" w:space="0" w:color="000000"/>
              <w:right w:val="single" w:sz="4" w:space="0" w:color="000000"/>
            </w:tcBorders>
            <w:shd w:val="clear" w:color="auto" w:fill="auto"/>
            <w:vAlign w:val="center"/>
          </w:tcPr>
          <w:p w14:paraId="4D760331"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1388" w:type="dxa"/>
            <w:tcBorders>
              <w:top w:val="nil"/>
              <w:left w:val="nil"/>
              <w:bottom w:val="single" w:sz="4" w:space="0" w:color="000000"/>
              <w:right w:val="single" w:sz="4" w:space="0" w:color="000000"/>
            </w:tcBorders>
            <w:shd w:val="clear" w:color="auto" w:fill="auto"/>
            <w:vAlign w:val="center"/>
          </w:tcPr>
          <w:p w14:paraId="43655108"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1,89</w:t>
            </w:r>
          </w:p>
        </w:tc>
        <w:tc>
          <w:tcPr>
            <w:tcW w:w="827" w:type="dxa"/>
            <w:tcBorders>
              <w:top w:val="nil"/>
              <w:left w:val="nil"/>
              <w:bottom w:val="single" w:sz="4" w:space="0" w:color="000000"/>
              <w:right w:val="single" w:sz="4" w:space="0" w:color="000000"/>
            </w:tcBorders>
            <w:shd w:val="clear" w:color="auto" w:fill="auto"/>
            <w:vAlign w:val="center"/>
          </w:tcPr>
          <w:p w14:paraId="20E27EC5"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389" w:type="dxa"/>
            <w:tcBorders>
              <w:top w:val="nil"/>
              <w:left w:val="nil"/>
              <w:bottom w:val="single" w:sz="4" w:space="0" w:color="000000"/>
              <w:right w:val="single" w:sz="4" w:space="0" w:color="000000"/>
            </w:tcBorders>
            <w:shd w:val="clear" w:color="auto" w:fill="auto"/>
            <w:vAlign w:val="center"/>
          </w:tcPr>
          <w:p w14:paraId="2C25FD65"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1,45</w:t>
            </w:r>
          </w:p>
        </w:tc>
      </w:tr>
      <w:tr w:rsidR="0025671A" w14:paraId="0F9153F7" w14:textId="77777777">
        <w:trPr>
          <w:trHeight w:val="381"/>
        </w:trPr>
        <w:tc>
          <w:tcPr>
            <w:tcW w:w="843" w:type="dxa"/>
            <w:tcBorders>
              <w:top w:val="nil"/>
              <w:left w:val="single" w:sz="4" w:space="0" w:color="000000"/>
              <w:bottom w:val="single" w:sz="4" w:space="0" w:color="000000"/>
              <w:right w:val="single" w:sz="4" w:space="0" w:color="000000"/>
            </w:tcBorders>
            <w:shd w:val="clear" w:color="auto" w:fill="auto"/>
            <w:vAlign w:val="center"/>
          </w:tcPr>
          <w:p w14:paraId="131CD1EB"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1028" w:type="dxa"/>
            <w:tcBorders>
              <w:top w:val="nil"/>
              <w:left w:val="nil"/>
              <w:bottom w:val="single" w:sz="4" w:space="0" w:color="000000"/>
              <w:right w:val="single" w:sz="4" w:space="0" w:color="000000"/>
            </w:tcBorders>
            <w:shd w:val="clear" w:color="auto" w:fill="auto"/>
            <w:vAlign w:val="center"/>
          </w:tcPr>
          <w:p w14:paraId="53ADEA5A"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113</w:t>
            </w:r>
          </w:p>
        </w:tc>
        <w:tc>
          <w:tcPr>
            <w:tcW w:w="1187" w:type="dxa"/>
            <w:tcBorders>
              <w:top w:val="nil"/>
              <w:left w:val="nil"/>
              <w:bottom w:val="single" w:sz="4" w:space="0" w:color="000000"/>
              <w:right w:val="single" w:sz="4" w:space="0" w:color="000000"/>
            </w:tcBorders>
            <w:shd w:val="clear" w:color="auto" w:fill="auto"/>
            <w:vAlign w:val="center"/>
          </w:tcPr>
          <w:p w14:paraId="5204718F"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2,97</w:t>
            </w:r>
          </w:p>
        </w:tc>
        <w:tc>
          <w:tcPr>
            <w:tcW w:w="1028" w:type="dxa"/>
            <w:tcBorders>
              <w:top w:val="nil"/>
              <w:left w:val="nil"/>
              <w:bottom w:val="single" w:sz="4" w:space="0" w:color="000000"/>
              <w:right w:val="single" w:sz="4" w:space="0" w:color="000000"/>
            </w:tcBorders>
            <w:shd w:val="clear" w:color="auto" w:fill="auto"/>
            <w:vAlign w:val="center"/>
          </w:tcPr>
          <w:p w14:paraId="0F856640"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115</w:t>
            </w:r>
          </w:p>
        </w:tc>
        <w:tc>
          <w:tcPr>
            <w:tcW w:w="1188" w:type="dxa"/>
            <w:tcBorders>
              <w:top w:val="nil"/>
              <w:left w:val="nil"/>
              <w:bottom w:val="single" w:sz="4" w:space="0" w:color="000000"/>
              <w:right w:val="single" w:sz="4" w:space="0" w:color="000000"/>
            </w:tcBorders>
            <w:shd w:val="clear" w:color="auto" w:fill="auto"/>
            <w:vAlign w:val="center"/>
          </w:tcPr>
          <w:p w14:paraId="0BB05CED"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3,59</w:t>
            </w:r>
          </w:p>
        </w:tc>
        <w:tc>
          <w:tcPr>
            <w:tcW w:w="827" w:type="dxa"/>
            <w:tcBorders>
              <w:top w:val="nil"/>
              <w:left w:val="nil"/>
              <w:bottom w:val="single" w:sz="4" w:space="0" w:color="000000"/>
              <w:right w:val="single" w:sz="4" w:space="0" w:color="000000"/>
            </w:tcBorders>
            <w:shd w:val="clear" w:color="auto" w:fill="auto"/>
            <w:vAlign w:val="center"/>
          </w:tcPr>
          <w:p w14:paraId="07E9A201"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w:t>
            </w:r>
          </w:p>
        </w:tc>
        <w:tc>
          <w:tcPr>
            <w:tcW w:w="1388" w:type="dxa"/>
            <w:tcBorders>
              <w:top w:val="nil"/>
              <w:left w:val="nil"/>
              <w:bottom w:val="single" w:sz="4" w:space="0" w:color="000000"/>
              <w:right w:val="single" w:sz="4" w:space="0" w:color="000000"/>
            </w:tcBorders>
            <w:shd w:val="clear" w:color="auto" w:fill="auto"/>
            <w:vAlign w:val="center"/>
          </w:tcPr>
          <w:p w14:paraId="28F8B2CB"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1,97</w:t>
            </w:r>
          </w:p>
        </w:tc>
        <w:tc>
          <w:tcPr>
            <w:tcW w:w="827" w:type="dxa"/>
            <w:tcBorders>
              <w:top w:val="nil"/>
              <w:left w:val="nil"/>
              <w:bottom w:val="single" w:sz="4" w:space="0" w:color="000000"/>
              <w:right w:val="single" w:sz="4" w:space="0" w:color="000000"/>
            </w:tcBorders>
            <w:shd w:val="clear" w:color="auto" w:fill="auto"/>
            <w:vAlign w:val="center"/>
          </w:tcPr>
          <w:p w14:paraId="67EFD296"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1389" w:type="dxa"/>
            <w:tcBorders>
              <w:top w:val="nil"/>
              <w:left w:val="nil"/>
              <w:bottom w:val="single" w:sz="4" w:space="0" w:color="000000"/>
              <w:right w:val="single" w:sz="4" w:space="0" w:color="000000"/>
            </w:tcBorders>
            <w:shd w:val="clear" w:color="auto" w:fill="auto"/>
            <w:vAlign w:val="center"/>
          </w:tcPr>
          <w:p w14:paraId="766EB136"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1,48</w:t>
            </w:r>
          </w:p>
        </w:tc>
      </w:tr>
      <w:tr w:rsidR="0025671A" w14:paraId="7E85C36D" w14:textId="77777777">
        <w:trPr>
          <w:trHeight w:val="381"/>
        </w:trPr>
        <w:tc>
          <w:tcPr>
            <w:tcW w:w="843" w:type="dxa"/>
            <w:tcBorders>
              <w:top w:val="nil"/>
              <w:left w:val="single" w:sz="4" w:space="0" w:color="000000"/>
              <w:bottom w:val="single" w:sz="4" w:space="0" w:color="000000"/>
              <w:right w:val="single" w:sz="4" w:space="0" w:color="000000"/>
            </w:tcBorders>
            <w:shd w:val="clear" w:color="auto" w:fill="auto"/>
            <w:vAlign w:val="center"/>
          </w:tcPr>
          <w:p w14:paraId="554EDB35"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028" w:type="dxa"/>
            <w:tcBorders>
              <w:top w:val="nil"/>
              <w:left w:val="nil"/>
              <w:bottom w:val="single" w:sz="4" w:space="0" w:color="000000"/>
              <w:right w:val="single" w:sz="4" w:space="0" w:color="000000"/>
            </w:tcBorders>
            <w:shd w:val="clear" w:color="auto" w:fill="auto"/>
            <w:vAlign w:val="center"/>
          </w:tcPr>
          <w:p w14:paraId="4D3C6E19"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119</w:t>
            </w:r>
          </w:p>
        </w:tc>
        <w:tc>
          <w:tcPr>
            <w:tcW w:w="1187" w:type="dxa"/>
            <w:tcBorders>
              <w:top w:val="nil"/>
              <w:left w:val="nil"/>
              <w:bottom w:val="single" w:sz="4" w:space="0" w:color="000000"/>
              <w:right w:val="single" w:sz="4" w:space="0" w:color="000000"/>
            </w:tcBorders>
            <w:shd w:val="clear" w:color="auto" w:fill="auto"/>
            <w:vAlign w:val="center"/>
          </w:tcPr>
          <w:p w14:paraId="225899DD"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2,01</w:t>
            </w:r>
          </w:p>
        </w:tc>
        <w:tc>
          <w:tcPr>
            <w:tcW w:w="1028" w:type="dxa"/>
            <w:tcBorders>
              <w:top w:val="nil"/>
              <w:left w:val="nil"/>
              <w:bottom w:val="single" w:sz="4" w:space="0" w:color="000000"/>
              <w:right w:val="single" w:sz="4" w:space="0" w:color="000000"/>
            </w:tcBorders>
            <w:shd w:val="clear" w:color="auto" w:fill="auto"/>
            <w:vAlign w:val="center"/>
          </w:tcPr>
          <w:p w14:paraId="3C137286"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121</w:t>
            </w:r>
          </w:p>
        </w:tc>
        <w:tc>
          <w:tcPr>
            <w:tcW w:w="1188" w:type="dxa"/>
            <w:tcBorders>
              <w:top w:val="nil"/>
              <w:left w:val="nil"/>
              <w:bottom w:val="single" w:sz="4" w:space="0" w:color="000000"/>
              <w:right w:val="single" w:sz="4" w:space="0" w:color="000000"/>
            </w:tcBorders>
            <w:shd w:val="clear" w:color="auto" w:fill="auto"/>
            <w:vAlign w:val="center"/>
          </w:tcPr>
          <w:p w14:paraId="511D6435"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2,48</w:t>
            </w:r>
          </w:p>
        </w:tc>
        <w:tc>
          <w:tcPr>
            <w:tcW w:w="827" w:type="dxa"/>
            <w:tcBorders>
              <w:top w:val="nil"/>
              <w:left w:val="nil"/>
              <w:bottom w:val="single" w:sz="4" w:space="0" w:color="000000"/>
              <w:right w:val="single" w:sz="4" w:space="0" w:color="000000"/>
            </w:tcBorders>
            <w:shd w:val="clear" w:color="auto" w:fill="auto"/>
            <w:vAlign w:val="center"/>
          </w:tcPr>
          <w:p w14:paraId="6F9A23D0"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w:t>
            </w:r>
          </w:p>
        </w:tc>
        <w:tc>
          <w:tcPr>
            <w:tcW w:w="1388" w:type="dxa"/>
            <w:tcBorders>
              <w:top w:val="nil"/>
              <w:left w:val="nil"/>
              <w:bottom w:val="single" w:sz="4" w:space="0" w:color="000000"/>
              <w:right w:val="single" w:sz="4" w:space="0" w:color="000000"/>
            </w:tcBorders>
            <w:shd w:val="clear" w:color="auto" w:fill="auto"/>
            <w:vAlign w:val="center"/>
          </w:tcPr>
          <w:p w14:paraId="075CC53F"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2,59</w:t>
            </w:r>
          </w:p>
        </w:tc>
        <w:tc>
          <w:tcPr>
            <w:tcW w:w="827" w:type="dxa"/>
            <w:tcBorders>
              <w:top w:val="nil"/>
              <w:left w:val="nil"/>
              <w:bottom w:val="single" w:sz="4" w:space="0" w:color="000000"/>
              <w:right w:val="single" w:sz="4" w:space="0" w:color="000000"/>
            </w:tcBorders>
            <w:shd w:val="clear" w:color="auto" w:fill="auto"/>
            <w:vAlign w:val="center"/>
          </w:tcPr>
          <w:p w14:paraId="0D07BDE8"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389" w:type="dxa"/>
            <w:tcBorders>
              <w:top w:val="nil"/>
              <w:left w:val="nil"/>
              <w:bottom w:val="single" w:sz="4" w:space="0" w:color="000000"/>
              <w:right w:val="single" w:sz="4" w:space="0" w:color="000000"/>
            </w:tcBorders>
            <w:shd w:val="clear" w:color="auto" w:fill="auto"/>
            <w:vAlign w:val="center"/>
          </w:tcPr>
          <w:p w14:paraId="7D0D33B6" w14:textId="77777777" w:rsidR="0025671A" w:rsidRDefault="00D741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1,81</w:t>
            </w:r>
          </w:p>
        </w:tc>
      </w:tr>
    </w:tbl>
    <w:p w14:paraId="6CA7259B" w14:textId="77777777" w:rsidR="0025671A" w:rsidRDefault="00D74137">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Рівень розвитку статичної витривалості та рівноваги дітей молодшого шкільного віку</w:t>
      </w:r>
    </w:p>
    <w:p w14:paraId="635A92A2" w14:textId="77777777" w:rsidR="0025671A" w:rsidRDefault="00D74137">
      <w:pPr>
        <w:keepNext/>
        <w:keepLine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дівчаток  картина дещо інша – темпи приросту статичної витривалості м’язів передньої частини тулуба й ніг мають хвилеподібний характер.</w:t>
      </w:r>
    </w:p>
    <w:p w14:paraId="24B83D46" w14:textId="77777777" w:rsidR="0025671A" w:rsidRDefault="00D74137">
      <w:pPr>
        <w:keepNext/>
        <w:keepLine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Темпи приросту аналізованих показників показано на діаграмі (рис. 3.2). У хлопчиків темпи приросту статичної витривалості краніальних м'язів тулуба та ніг мають чітко виражений регресивний характер. Максимальний приріст припадає на вік від 7 до 8 років, а мінімальний приріст на 6,4% — на вік від 9 до 10 років. Між 8 і 9 роками середній темп приросту становить 7,7%.</w:t>
      </w:r>
    </w:p>
    <w:p w14:paraId="4B1379E6" w14:textId="77777777" w:rsidR="0025671A" w:rsidRDefault="00D74137">
      <w:pPr>
        <w:keepNext/>
        <w:keepLine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дівчаток же інша особливість — темп приросту статичної витривалості краніальних м'язів тулуба та краніальної поверхні нижніх кінцівок відбувається хвилеподібно.</w:t>
      </w:r>
    </w:p>
    <w:p w14:paraId="453853BB" w14:textId="77777777" w:rsidR="0025671A" w:rsidRDefault="00D74137">
      <w:pPr>
        <w:keepNext/>
        <w:keepLine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noProof/>
          <w:sz w:val="28"/>
          <w:szCs w:val="28"/>
        </w:rPr>
        <w:drawing>
          <wp:inline distT="0" distB="0" distL="0" distR="0" wp14:anchorId="05E78231" wp14:editId="1D7A36F8">
            <wp:extent cx="5715000" cy="30480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715000" cy="3048000"/>
                    </a:xfrm>
                    <a:prstGeom prst="rect">
                      <a:avLst/>
                    </a:prstGeom>
                    <a:ln/>
                  </pic:spPr>
                </pic:pic>
              </a:graphicData>
            </a:graphic>
          </wp:inline>
        </w:drawing>
      </w:r>
    </w:p>
    <w:p w14:paraId="1CF10B59" w14:textId="77777777" w:rsidR="0025671A" w:rsidRDefault="00D74137">
      <w:pPr>
        <w:keepNext/>
        <w:keepLine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3.2. Темпи приросту статичної витривалості м’язів передньої частини тулуба й ніг у дітей молодшого шкільного віку</w:t>
      </w:r>
    </w:p>
    <w:p w14:paraId="664D03B6" w14:textId="77777777" w:rsidR="0025671A" w:rsidRDefault="00D74137">
      <w:pPr>
        <w:keepNext/>
        <w:keepLine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Максимальний приріст показника, що становить 11%, спостерігається у віці від 8 до 9 років. Середній темп приросту показника (5,2%) спостерігається у віці 9-10 років, а мінімальний (3%) відповідно у віці 7-8 років.</w:t>
      </w:r>
    </w:p>
    <w:p w14:paraId="339447AB" w14:textId="77777777" w:rsidR="0025671A" w:rsidRDefault="00D74137">
      <w:pPr>
        <w:keepNext/>
        <w:keepLines/>
        <w:tabs>
          <w:tab w:val="left" w:pos="72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Результати тесту показують, що статична витривалість м'язів задньої частини тулуба та м'язів ніг також має тенденцію до статистично значущого зростання з віком (t&gt;</w:t>
      </w:r>
      <w:proofErr w:type="spellStart"/>
      <w:r>
        <w:rPr>
          <w:rFonts w:ascii="Times New Roman" w:eastAsia="Times New Roman" w:hAnsi="Times New Roman" w:cs="Times New Roman"/>
          <w:sz w:val="28"/>
          <w:szCs w:val="28"/>
        </w:rPr>
        <w:t>t</w:t>
      </w:r>
      <w:r>
        <w:rPr>
          <w:rFonts w:ascii="Times New Roman" w:eastAsia="Times New Roman" w:hAnsi="Times New Roman" w:cs="Times New Roman"/>
          <w:sz w:val="28"/>
          <w:szCs w:val="28"/>
          <w:vertAlign w:val="subscript"/>
        </w:rPr>
        <w:t>гр</w:t>
      </w:r>
      <w:proofErr w:type="spellEnd"/>
      <w:r>
        <w:rPr>
          <w:rFonts w:ascii="Times New Roman" w:eastAsia="Times New Roman" w:hAnsi="Times New Roman" w:cs="Times New Roman"/>
          <w:sz w:val="28"/>
          <w:szCs w:val="28"/>
        </w:rPr>
        <w:t xml:space="preserve">). При цьому значення для хлопчиків вищі, ніж для дівчаток. </w:t>
      </w:r>
    </w:p>
    <w:p w14:paraId="5A8E29D6" w14:textId="77777777" w:rsidR="0025671A" w:rsidRDefault="00D74137">
      <w:pPr>
        <w:keepNext/>
        <w:keepLines/>
        <w:tabs>
          <w:tab w:val="left" w:pos="720"/>
        </w:tab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Цікаво, що показники статичної витривалості каудальних м'язів тулуба і ніг вищі, ніж показники статичної витривалості краніальних м'язів тулуба і ніг у хлопчиків і дівчаток. </w:t>
      </w:r>
    </w:p>
    <w:p w14:paraId="1AE7D1DC" w14:textId="77777777" w:rsidR="0025671A" w:rsidRDefault="00D74137">
      <w:pPr>
        <w:keepNext/>
        <w:keepLines/>
        <w:tabs>
          <w:tab w:val="left" w:pos="720"/>
        </w:tab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рисунку 3.3 показано темпи приросту аналізованого показника. Згідно з рисунком 3.3, максимальний темп приросту (8,22%) спостерігається у хлопчиків 7-8 років. Середній темп приросту (7,59%) спостерігається у віці 8-9 років, а мінімальний темп приросту (5,53%) — у віці 9-10 років.</w:t>
      </w:r>
    </w:p>
    <w:p w14:paraId="4A6A939A" w14:textId="77777777" w:rsidR="0025671A" w:rsidRDefault="00D74137">
      <w:pPr>
        <w:keepNext/>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noProof/>
          <w:sz w:val="28"/>
          <w:szCs w:val="28"/>
        </w:rPr>
        <w:drawing>
          <wp:inline distT="0" distB="0" distL="0" distR="0" wp14:anchorId="749B7F2A" wp14:editId="0C6A5B82">
            <wp:extent cx="5905500" cy="3324225"/>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5905500" cy="3324225"/>
                    </a:xfrm>
                    <a:prstGeom prst="rect">
                      <a:avLst/>
                    </a:prstGeom>
                    <a:ln/>
                  </pic:spPr>
                </pic:pic>
              </a:graphicData>
            </a:graphic>
          </wp:inline>
        </w:drawing>
      </w:r>
    </w:p>
    <w:p w14:paraId="75AD5B00" w14:textId="77777777" w:rsidR="0025671A" w:rsidRDefault="00D74137">
      <w:pPr>
        <w:keepNext/>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3.3. Темпи приросту статичної витривалості м’язів задньої частини тулуба й ніг у дітей молодшого шкільного віку</w:t>
      </w:r>
    </w:p>
    <w:p w14:paraId="168909F6" w14:textId="77777777" w:rsidR="0025671A" w:rsidRDefault="00D74137">
      <w:pPr>
        <w:keepNext/>
        <w:keepLines/>
        <w:widowControl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дівчаток інша картина — темпи зростання були максимальними у віковому періоді від 8 до 9 років, мінімальними у віці 7-8 років (2,96%) і середніми у віці 9-10 років (5,08%).</w:t>
      </w:r>
    </w:p>
    <w:p w14:paraId="224FD8B1" w14:textId="77777777" w:rsidR="0025671A" w:rsidRDefault="00D74137">
      <w:pPr>
        <w:keepNext/>
        <w:keepLines/>
        <w:widowControl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статичної рівноваги, що зображені у таблиці 3, також мають загальну тенденцію до статистично значущого збільшення з віком (t&gt;</w:t>
      </w:r>
      <w:proofErr w:type="spellStart"/>
      <w:r>
        <w:rPr>
          <w:rFonts w:ascii="Times New Roman" w:eastAsia="Times New Roman" w:hAnsi="Times New Roman" w:cs="Times New Roman"/>
          <w:sz w:val="28"/>
          <w:szCs w:val="28"/>
        </w:rPr>
        <w:t>t</w:t>
      </w:r>
      <w:r>
        <w:rPr>
          <w:rFonts w:ascii="Times New Roman" w:eastAsia="Times New Roman" w:hAnsi="Times New Roman" w:cs="Times New Roman"/>
          <w:sz w:val="28"/>
          <w:szCs w:val="28"/>
          <w:vertAlign w:val="subscript"/>
        </w:rPr>
        <w:t>гр</w:t>
      </w:r>
      <w:proofErr w:type="spellEnd"/>
      <w:r>
        <w:rPr>
          <w:rFonts w:ascii="Times New Roman" w:eastAsia="Times New Roman" w:hAnsi="Times New Roman" w:cs="Times New Roman"/>
          <w:sz w:val="28"/>
          <w:szCs w:val="28"/>
        </w:rPr>
        <w:t xml:space="preserve">). Сумарний приріст показника, а саме тест на </w:t>
      </w:r>
      <w:proofErr w:type="spellStart"/>
      <w:r>
        <w:rPr>
          <w:rFonts w:ascii="Times New Roman" w:eastAsia="Times New Roman" w:hAnsi="Times New Roman" w:cs="Times New Roman"/>
          <w:sz w:val="28"/>
          <w:szCs w:val="28"/>
        </w:rPr>
        <w:t>розплющення</w:t>
      </w:r>
      <w:proofErr w:type="spellEnd"/>
      <w:r>
        <w:rPr>
          <w:rFonts w:ascii="Times New Roman" w:eastAsia="Times New Roman" w:hAnsi="Times New Roman" w:cs="Times New Roman"/>
          <w:sz w:val="28"/>
          <w:szCs w:val="28"/>
        </w:rPr>
        <w:t xml:space="preserve"> очей, у хлопчиків і дівчаток становить 9 секунд. Відмічено, що якісні показники статичної рівноваги у дівчаток дещо вищі, ніж у хлопчиків. Темпи приросту аналізованих показників показано на рисунку 3.4. </w:t>
      </w:r>
    </w:p>
    <w:p w14:paraId="6C38CC39" w14:textId="77777777" w:rsidR="0025671A" w:rsidRDefault="00D74137">
      <w:pPr>
        <w:keepNext/>
        <w:keepLines/>
        <w:tabs>
          <w:tab w:val="left" w:pos="72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У хлопчиків (рис. 3.4) максимальний темп приросту показника спостерігається у період із 7 до 8 років і становить 36,4%. Мінімальний темп приросту —  від 8 до 9 років (14,3%), а середній темп приросту — від 9 до 10 років (18,2%).</w:t>
      </w:r>
    </w:p>
    <w:p w14:paraId="59FFA350" w14:textId="77777777" w:rsidR="0025671A" w:rsidRDefault="00D74137">
      <w:pPr>
        <w:keepNext/>
        <w:keepLine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дівчат (рис. 3.4) темпи зростання дещо відрізняються. Зокрема, найвищий темп приросту, що складає 37%, спостерігається у віці 8-9 років.</w:t>
      </w:r>
    </w:p>
    <w:p w14:paraId="3F291099" w14:textId="77777777" w:rsidR="0025671A" w:rsidRDefault="00D74137">
      <w:pPr>
        <w:keepNext/>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noProof/>
          <w:sz w:val="28"/>
          <w:szCs w:val="28"/>
        </w:rPr>
        <w:drawing>
          <wp:inline distT="0" distB="0" distL="0" distR="0" wp14:anchorId="67453768" wp14:editId="656B7EED">
            <wp:extent cx="5829300" cy="3209925"/>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5829300" cy="3209925"/>
                    </a:xfrm>
                    <a:prstGeom prst="rect">
                      <a:avLst/>
                    </a:prstGeom>
                    <a:ln/>
                  </pic:spPr>
                </pic:pic>
              </a:graphicData>
            </a:graphic>
          </wp:inline>
        </w:drawing>
      </w:r>
    </w:p>
    <w:p w14:paraId="256EA3F0" w14:textId="77777777" w:rsidR="0025671A" w:rsidRDefault="00D74137">
      <w:pPr>
        <w:keepNext/>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 Темпи приросту статичної рівноваги у дітей молодшого шкільного віку (тест із розплющеними очима)</w:t>
      </w:r>
    </w:p>
    <w:p w14:paraId="2093E650" w14:textId="77777777" w:rsidR="0025671A" w:rsidRDefault="00D74137">
      <w:pPr>
        <w:keepNext/>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той час як темпи зростання між 9-10 роками життя є середніми, темпи зростання у період від 7 до 8 років є незначними і становлять лише 9,5%.</w:t>
      </w:r>
    </w:p>
    <w:p w14:paraId="64F74069" w14:textId="77777777" w:rsidR="0025671A" w:rsidRDefault="00D74137">
      <w:pPr>
        <w:keepNext/>
        <w:keepLines/>
        <w:widowControl w:val="0"/>
        <w:tabs>
          <w:tab w:val="left" w:pos="72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Результати тесту показують, що тест на статичну рівновагу (тест із закритими очима) також мав тенденцію до статистично значущого зростання з віком (t&gt;</w:t>
      </w:r>
      <w:proofErr w:type="spellStart"/>
      <w:r>
        <w:rPr>
          <w:rFonts w:ascii="Times New Roman" w:eastAsia="Times New Roman" w:hAnsi="Times New Roman" w:cs="Times New Roman"/>
          <w:sz w:val="28"/>
          <w:szCs w:val="28"/>
        </w:rPr>
        <w:t>t</w:t>
      </w:r>
      <w:r>
        <w:rPr>
          <w:rFonts w:ascii="Times New Roman" w:eastAsia="Times New Roman" w:hAnsi="Times New Roman" w:cs="Times New Roman"/>
          <w:sz w:val="28"/>
          <w:szCs w:val="28"/>
          <w:vertAlign w:val="subscript"/>
        </w:rPr>
        <w:t>гр</w:t>
      </w:r>
      <w:proofErr w:type="spellEnd"/>
      <w:r>
        <w:rPr>
          <w:rFonts w:ascii="Times New Roman" w:eastAsia="Times New Roman" w:hAnsi="Times New Roman" w:cs="Times New Roman"/>
          <w:sz w:val="28"/>
          <w:szCs w:val="28"/>
        </w:rPr>
        <w:t>), причому дівчатка показували кращі результати, ніж хлопчики. Загальний приріст результатів у хлопчиків склав 6 секунд, а у дівчаток — 8 секунд.</w:t>
      </w:r>
    </w:p>
    <w:p w14:paraId="7C6EE291" w14:textId="77777777" w:rsidR="0025671A" w:rsidRDefault="00D74137">
      <w:pPr>
        <w:keepNext/>
        <w:keepLines/>
        <w:widowControl w:val="0"/>
        <w:tabs>
          <w:tab w:val="left" w:pos="720"/>
        </w:tab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винятком якісних показників, темпи зростання для дівчат і хлопців майже однакові (рис. 3.5).</w:t>
      </w:r>
    </w:p>
    <w:p w14:paraId="44F6E07E" w14:textId="77777777" w:rsidR="0025671A" w:rsidRDefault="00D74137">
      <w:pPr>
        <w:keepNext/>
        <w:keepLines/>
        <w:tabs>
          <w:tab w:val="left" w:pos="72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У віковому періоді від 7 до 8 років темпи зростання статичної рівноваги (тест із заплющеними очима) є найвищими як у хлопчиків, так і в дівчаток. Темп приросту становить 50% для хлопчиків і 85,7% для дівчаток. Середній темп приросту для хлопчиків віком від 8 до 9 років становить 33,3% і 46,2% для дівчаток також віку відповідно. В цей же час, найнижчий темп приросту характеризувався для хлопчиків у період 9-10 років та складав 25% і 22,2% для дівчаток такого ж віку відповідно.</w:t>
      </w:r>
    </w:p>
    <w:p w14:paraId="4E0F1984" w14:textId="77777777" w:rsidR="0025671A" w:rsidRDefault="00D74137">
      <w:pPr>
        <w:keepNext/>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noProof/>
          <w:sz w:val="28"/>
          <w:szCs w:val="28"/>
        </w:rPr>
        <w:drawing>
          <wp:inline distT="0" distB="0" distL="0" distR="0" wp14:anchorId="67F12462" wp14:editId="290DBF16">
            <wp:extent cx="5829300" cy="3181350"/>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829300" cy="3181350"/>
                    </a:xfrm>
                    <a:prstGeom prst="rect">
                      <a:avLst/>
                    </a:prstGeom>
                    <a:ln/>
                  </pic:spPr>
                </pic:pic>
              </a:graphicData>
            </a:graphic>
          </wp:inline>
        </w:drawing>
      </w:r>
    </w:p>
    <w:p w14:paraId="3452AB54" w14:textId="77777777" w:rsidR="0025671A" w:rsidRDefault="00D74137">
      <w:pPr>
        <w:keepNext/>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3.5. Темпи приросту статичної рівноваги у дітей молодшого шкільного віку (тест із заплющеними очима)</w:t>
      </w:r>
    </w:p>
    <w:p w14:paraId="62838F34" w14:textId="77777777" w:rsidR="0025671A" w:rsidRDefault="00D74137">
      <w:pPr>
        <w:keepNext/>
        <w:keepLines/>
        <w:tabs>
          <w:tab w:val="left" w:pos="72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Варто також зазначити, що хлопчики демонструють найвищі темпи зростання всіх проаналізованих показників у віці від 7 до 8 років. У дівчаток максимальний темп приросту показникі</w:t>
      </w:r>
      <w:r w:rsidR="00FC7070">
        <w:rPr>
          <w:rFonts w:ascii="Times New Roman" w:eastAsia="Times New Roman" w:hAnsi="Times New Roman" w:cs="Times New Roman"/>
          <w:sz w:val="28"/>
          <w:szCs w:val="28"/>
        </w:rPr>
        <w:t>в відбувається у віці 8-9 років.</w:t>
      </w:r>
      <w:r>
        <w:rPr>
          <w:rFonts w:ascii="Times New Roman" w:eastAsia="Times New Roman" w:hAnsi="Times New Roman" w:cs="Times New Roman"/>
          <w:sz w:val="28"/>
          <w:szCs w:val="28"/>
        </w:rPr>
        <w:t xml:space="preserve"> </w:t>
      </w:r>
    </w:p>
    <w:p w14:paraId="6C19A7F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дослідження впливу віртуальної реальності на ігрову діяльність дітей молодшого шкільного віку було розроблено наступний експеримент.</w:t>
      </w:r>
    </w:p>
    <w:p w14:paraId="2F4E768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дослідження: вивчити вплив віртуальних ігор на розвиток координаційних здібностей та соціальних навичок дітей молодшого шкільного віку.</w:t>
      </w:r>
    </w:p>
    <w:p w14:paraId="7026800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Гіпотеза: віртуальні ігри мають значний вплив на розвиток координаційних здібностей та соціальних навичок дітей молодшого шкільного </w:t>
      </w:r>
      <w:r>
        <w:rPr>
          <w:rFonts w:ascii="Times New Roman" w:eastAsia="Times New Roman" w:hAnsi="Times New Roman" w:cs="Times New Roman"/>
          <w:sz w:val="28"/>
          <w:szCs w:val="28"/>
        </w:rPr>
        <w:lastRenderedPageBreak/>
        <w:t xml:space="preserve">віку. Вони створюють інтерактивне середовище, де діти можуть активно взаємодіяти з віртуальними об’єктами, що сприяє покращенню їхньої моторики та координації рухів. Завдяки завданням, які вимагають точності та швидкості реакції, діти розвивають свої фізичні навички, що позитивно впливає на їхню загальну фізичну підготовку. </w:t>
      </w:r>
    </w:p>
    <w:p w14:paraId="100B262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віртуальні ігри часто включають елементи командної роботи та співпраці, що сприяє розвитку соціальних навичок. Діти вчаться працювати разом, спілкуватися та вирішувати конфлікти, що є важливими аспектами їхнього соціального розвитку. Віртуальні ігри також можуть підвищити мотивацію та інтерес дітей до навчання, оскільки вони пропонують захоплюючі та інтерактивні завдання, які стимулюють їхню активність та залученість. Таким чином, використання віртуальних ігор може бути ефективним інструментом для розвитку координаційних здібностей та соціальних навичок у дітей молодшого шкільного віку, що робить їх важливим компонентом сучасних освітніх програм.</w:t>
      </w:r>
    </w:p>
    <w:p w14:paraId="16C2647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w:t>
      </w:r>
    </w:p>
    <w:p w14:paraId="3A9587C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Учасники: 60 дітей віком 7-9 років, розподілені на дві групи по 30 осіб: експериментальну та контрольну.</w:t>
      </w:r>
    </w:p>
    <w:p w14:paraId="1586562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Попереднє тестування: оцінка початкового рівня координаційних здібностей (швидкість реакції, точність рухів) та соціальних навичок (співпраця, комунікація).</w:t>
      </w:r>
    </w:p>
    <w:p w14:paraId="5DA4CC5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Інтервенція: експериментальна група бере участь у віртуальних іграх та змаганнях протягом 8 тижнів, 3 рази на тиждень по 30 хвилин. Контрольна група займається традиційними фізичними вправами та іграми.</w:t>
      </w:r>
    </w:p>
    <w:p w14:paraId="1641320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Віртуальні ігри: використання VR-гарнітур та контролерів для виконання завдань, що вимагають координації рухів, швидкості реакції та командної роботи.</w:t>
      </w:r>
    </w:p>
    <w:p w14:paraId="5E29F8E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proofErr w:type="spellStart"/>
      <w:r>
        <w:rPr>
          <w:rFonts w:ascii="Times New Roman" w:eastAsia="Times New Roman" w:hAnsi="Times New Roman" w:cs="Times New Roman"/>
          <w:sz w:val="28"/>
          <w:szCs w:val="28"/>
        </w:rPr>
        <w:t>Посттестування</w:t>
      </w:r>
      <w:proofErr w:type="spellEnd"/>
      <w:r>
        <w:rPr>
          <w:rFonts w:ascii="Times New Roman" w:eastAsia="Times New Roman" w:hAnsi="Times New Roman" w:cs="Times New Roman"/>
          <w:sz w:val="28"/>
          <w:szCs w:val="28"/>
        </w:rPr>
        <w:t>: повторна оцінка координаційних здібностей та соціальних навичок після завершення програми.</w:t>
      </w:r>
    </w:p>
    <w:p w14:paraId="0B3DDFF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Координаційні здібності оцінюються за кількома критеріями:</w:t>
      </w:r>
    </w:p>
    <w:p w14:paraId="5FC6468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Можливість контролювати часові, просторові та силові параметри руху: це включає точність і швидкість виконання рухів.</w:t>
      </w:r>
    </w:p>
    <w:p w14:paraId="548D42B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Здатність зберігати баланс: оцінюється здатність підтримувати стійкість тіла під час виконання різних рухів.</w:t>
      </w:r>
    </w:p>
    <w:p w14:paraId="4A449EB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Відчуття ритму: вміння виконувати рухи у відповідності з заданим ритмом.</w:t>
      </w:r>
    </w:p>
    <w:p w14:paraId="4589126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Вміння орієнтуватися в просторі: вміння визначати своє місцезнаходження та напрямок руху в просторі.</w:t>
      </w:r>
    </w:p>
    <w:p w14:paraId="3694611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Вміння довільно розслабляти м'язи: вміння контролювати напруження і розслаблення м’язів.</w:t>
      </w:r>
    </w:p>
    <w:p w14:paraId="755DC7D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Координація рухів (спритність): здатність виконувати складні рухові дії, що вимагають узгодженої роботи різних частин тіла.</w:t>
      </w:r>
    </w:p>
    <w:p w14:paraId="29C828B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навички оцінюються за кількома критеріями:</w:t>
      </w:r>
    </w:p>
    <w:p w14:paraId="7ECEFBD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Ефективне спілкування: здатність чітко та зрозуміло висловлювати свої думки, слухати інших та відповідати на їхні запитання.</w:t>
      </w:r>
    </w:p>
    <w:p w14:paraId="65A1A2D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Співпраця: вміння працювати в команді, розподіляти завдання та досягати спільних цілей.</w:t>
      </w:r>
    </w:p>
    <w:p w14:paraId="04F092E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Емпатія: здатність розуміти та співчувати почуттям інших людей.</w:t>
      </w:r>
    </w:p>
    <w:p w14:paraId="1C418E3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Розв’язання конфліктів: вміння ефективно вирішувати суперечки та знаходити компроміси.</w:t>
      </w:r>
    </w:p>
    <w:p w14:paraId="19FA11C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Самоконтроль: здатність контролювати свої емоції та поведінку в різних ситуаціях.</w:t>
      </w:r>
    </w:p>
    <w:p w14:paraId="2988B671"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Соціальна відповідальність: усвідомлення своїх обов’язків перед іншими та готовність допомагати.</w:t>
      </w:r>
    </w:p>
    <w:p w14:paraId="7CCBDAE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Адаптивність: здатність пристосовуватися до змін та нових ситуацій.</w:t>
      </w:r>
    </w:p>
    <w:p w14:paraId="33999F31"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Задоволеність оцінюється за кількома критеріями:</w:t>
      </w:r>
    </w:p>
    <w:p w14:paraId="277CFB8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Задоволення процесом: наскільки дітям сподобався процес участі у мультимедійних іграх або VR-іграх.</w:t>
      </w:r>
    </w:p>
    <w:p w14:paraId="00CA7D5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Задоволення результатами: наскільки діти задоволені своїми досягненнями та прогресом у координаційних здібностях та соціальних навичках.</w:t>
      </w:r>
    </w:p>
    <w:p w14:paraId="7337C39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Емоційний стан: рівень позитивних емоцій, які діти відчували під час занять.</w:t>
      </w:r>
    </w:p>
    <w:p w14:paraId="3D56F57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Інтерес та мотивація: наскільки діти були зацікавлені та мотивовані брати участь у заняттях.</w:t>
      </w:r>
    </w:p>
    <w:p w14:paraId="4C13761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Готовність продовжувати: чи хочуть діти продовжувати використовувати мультимедійні або VR-ігри у майбутньому.</w:t>
      </w:r>
    </w:p>
    <w:p w14:paraId="21A59850"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Зворотний зв’язок від дітей: відгуки дітей про те, що їм сподобалося або не сподобалося у заняттях. </w:t>
      </w:r>
    </w:p>
    <w:p w14:paraId="68D0EDA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w:t>
      </w:r>
    </w:p>
    <w:p w14:paraId="32393F0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Координаційні здібності. Діти з експериментальної групи показали значне покращення швидкості реакції (в середньому на 20%) та точності рухів (в середньому на 15%) порівняно з контрольною групою.</w:t>
      </w:r>
    </w:p>
    <w:p w14:paraId="593323C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Соціальні навички. Учасники експериментальної групи продемонстрували вищий рівень співпраці та комунікації (в середньому на 25%) під час групових завдань у порівнянні з контрольною групою.</w:t>
      </w:r>
    </w:p>
    <w:p w14:paraId="19F0E41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Задоволеність. Діти з експериментальної групи висловили більшу задоволеність від занять (в середньому на 30%) та виявили бажання продовжувати використовувати VR-ігри у майбутньому.</w:t>
      </w:r>
    </w:p>
    <w:p w14:paraId="496AE27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дослідження впливу віртуальної реальності на ігрову діяльність дітей молодшого шкільного віку можна розробити наступні ігрові сценарії та сюжети.</w:t>
      </w:r>
    </w:p>
    <w:p w14:paraId="247E5A6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дослідження: вивчити вплив віртуальних ігор на розвиток координаційних здібностей та соціальних навичок дітей молодшого шкільного віку.</w:t>
      </w:r>
    </w:p>
    <w:p w14:paraId="1E5EE83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Гіпотеза: віртуальні ігри мають значний вплив на розвиток координаційних здібностей та соціальних навичок дітей молодшого шкільного віку. Вони створюють інтерактивне середовище, де діти можуть активно </w:t>
      </w:r>
      <w:r>
        <w:rPr>
          <w:rFonts w:ascii="Times New Roman" w:eastAsia="Times New Roman" w:hAnsi="Times New Roman" w:cs="Times New Roman"/>
          <w:sz w:val="28"/>
          <w:szCs w:val="28"/>
        </w:rPr>
        <w:lastRenderedPageBreak/>
        <w:t>взаємодіяти з віртуальними об’єктами, що сприяє покращенню їхньої моторики та координації рухів. Завдяки завданням, які вимагають точності та швидкості реакції, діти розвивають свої фізичні навички, що позитивно впливає на їхню загальну фізичну підготовку. Крім того, віртуальні ігри часто включають елементи командної роботи та співпраці, що сприяє розвитку соціальних навичок. Діти вчаться працювати разом, спілкуватися та вирішувати конфлікти, що є важливими аспектами їхнього соціального розвитку. Віртуальні ігри також можуть підвищити мотивацію та інтерес дітей до навчання, оскільки вони пропонують захоплюючі та інтерактивні завдання, які стимулюють їхню активність та залученість. Таким чином, використання віртуальних ігор може бути ефективним інструментом для розвитку координаційних здібностей та соціальних навичок у дітей молодшого шкільного віку, що робить їх важливим компонентом сучасних освітніх програм.</w:t>
      </w:r>
    </w:p>
    <w:p w14:paraId="39FFC57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w:t>
      </w:r>
    </w:p>
    <w:p w14:paraId="24487D7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Учасники: 60 дітей віком 7-9 років, розподілені на дві групи по 30 осіб: експериментальну та контрольну.</w:t>
      </w:r>
    </w:p>
    <w:p w14:paraId="0C02206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Попереднє тестування: оцінка початкового рівня координаційних здібностей (швидкість реакції, точність рухів) та соціальних навичок (співпраця, комунікація).</w:t>
      </w:r>
    </w:p>
    <w:p w14:paraId="48A14DD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Інтервенція: експериментальна група бере участь у віртуальних іграх та змаганнях протягом 8 тижнів, 3 рази на тиждень по 30 хвилин. Контрольна група займається традиційними фізичними вправами та іграми.</w:t>
      </w:r>
    </w:p>
    <w:p w14:paraId="6F34A6D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Віртуальні ігри: використання VR-гарнітур та контролерів для виконання завдань, що вимагають координації рухів, швидкості реакції та командної роботи.</w:t>
      </w:r>
    </w:p>
    <w:p w14:paraId="51F28A7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proofErr w:type="spellStart"/>
      <w:r>
        <w:rPr>
          <w:rFonts w:ascii="Times New Roman" w:eastAsia="Times New Roman" w:hAnsi="Times New Roman" w:cs="Times New Roman"/>
          <w:sz w:val="28"/>
          <w:szCs w:val="28"/>
        </w:rPr>
        <w:t>Посттестування</w:t>
      </w:r>
      <w:proofErr w:type="spellEnd"/>
      <w:r>
        <w:rPr>
          <w:rFonts w:ascii="Times New Roman" w:eastAsia="Times New Roman" w:hAnsi="Times New Roman" w:cs="Times New Roman"/>
          <w:sz w:val="28"/>
          <w:szCs w:val="28"/>
        </w:rPr>
        <w:t>: повторна оцінка координаційних здібностей та соціальних навичок після завершення програми.</w:t>
      </w:r>
    </w:p>
    <w:p w14:paraId="60B6956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Ігрові сценарії та сюжети:</w:t>
      </w:r>
    </w:p>
    <w:p w14:paraId="578F582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Сценарій «Космічна місія»:</w:t>
      </w:r>
    </w:p>
    <w:p w14:paraId="3135BD0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Сюжет: діти стають членами екіпажу космічного корабля, який вирушає на дослідження нових планет. Вони повинні виконувати різні завдання, такі як керування кораблем, збір зразків та взаємодія з інопланетними формами життя.</w:t>
      </w:r>
    </w:p>
    <w:p w14:paraId="75A1FF8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Завдання: координація рухів для керування кораблем, швидкість реакції для уникнення космічних перешкод, командна робота для виконання спільних завдань.</w:t>
      </w:r>
    </w:p>
    <w:p w14:paraId="62D592A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Сценарій «Скарби піратів»:</w:t>
      </w:r>
    </w:p>
    <w:p w14:paraId="3668B13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Сюжет: діти стають піратами, які шукають скарби на таємничих островах. Вони повинні розгадувати загадки, долати перешкоди та боротися з іншими піратами.</w:t>
      </w:r>
    </w:p>
    <w:p w14:paraId="696377E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Завдання: координація рухів для подолання перешкод, стратегічне мислення для розгадування загадок, співпраця для досягнення спільної мети.</w:t>
      </w:r>
    </w:p>
    <w:p w14:paraId="27FC9CF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Сценарій «Магічний ліс»:</w:t>
      </w:r>
    </w:p>
    <w:p w14:paraId="211F39E1"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Сюжет: діти потрапляють у магічний ліс, де вони повинні допомогти чарівним істотам відновити баланс природи. Вони виконують різні завдання, такі як збір магічних артефактів, боротьба з темними силами та взаємодія з лісовими мешканцями.</w:t>
      </w:r>
    </w:p>
    <w:p w14:paraId="45FC276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Завдання: координація рухів для збору артефактів, швидкість реакції для боротьби з темними силами, командна робота для виконання спільних завдань.</w:t>
      </w:r>
    </w:p>
    <w:p w14:paraId="7580A33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Сценарій «Спортивний турнір»:</w:t>
      </w:r>
    </w:p>
    <w:p w14:paraId="6303288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Сюжет: діти беруть участь у віртуальному спортивному турнірі, де вони змагаються у різних видах спорту, таких як футбол, баскетбол, теніс та інші.</w:t>
      </w:r>
    </w:p>
    <w:p w14:paraId="0B37E83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Завдання: координація рухів для виконання спортивних вправ, швидкість реакції для змагань, співпраця для командних видів спорту.</w:t>
      </w:r>
    </w:p>
    <w:p w14:paraId="7AD45FE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w:t>
      </w:r>
    </w:p>
    <w:p w14:paraId="406FACD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Координаційні здібності: діти з експериментальної групи показали покращення швидкості реакції (в середньому на 10%) та точності рухів (в середньому на 8%) порівняно з контрольною групою.</w:t>
      </w:r>
    </w:p>
    <w:p w14:paraId="17463CB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Соціальні навички: учасники експериментальної групи продемонстрували вищий рівень співпраці та комунікації (в середньому на 12%) під час групових завдань у порівнянні з контрольною групою.</w:t>
      </w:r>
    </w:p>
    <w:p w14:paraId="7C945AC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Задоволеність: діти з експериментальної групи висловили більшу задоволеність від занять (в середньому на 15%) та виявили бажання продовжувати використовувати VR-ігри у майбутньому.</w:t>
      </w:r>
    </w:p>
    <w:p w14:paraId="626B486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дослідження впливу мультимедійних засобів на ігрову діяльність дітей молодшого шкільного віку можна розробити наступний експеримент.</w:t>
      </w:r>
    </w:p>
    <w:p w14:paraId="48C5759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дослідження: вивчити вплив мультимедійних засобів на розвиток координаційних здібностей та соціальних навичок дітей молодшого шкільного віку.</w:t>
      </w:r>
    </w:p>
    <w:p w14:paraId="5A3D7B2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Гіпотеза: віртуальні ігри мають значний вплив на розвиток координаційних здібностей та соціальних навичок дітей молодшого шкільного віку. Вони створюють інтерактивне середовище, де діти можуть активно взаємодіяти з віртуальними об’єктами, що сприяє покращенню їхньої моторики та координації рухів. Завдяки завданням, які вимагають точності та швидкості реакції, діти розвивають свої фізичні навички, що позитивно впливає на їхню загальну фізичну підготовку. Крім того, віртуальні ігри часто включають елементи командної роботи та співпраці, що сприяє розвитку соціальних навичок. Діти вчаться працювати разом, спілкуватися та вирішувати конфлікти, що є важливими аспектами їхнього соціального розвитку. Віртуальні ігри також можуть підвищити мотивацію та інтерес дітей до навчання, оскільки вони пропонують захоплюючі та інтерактивні завдання, які стимулюють їхню активність та залученість. Таким чином, використання віртуальних ігор може бути ефективним інструментом для розвитку координаційних здібностей та соціальних навичок у дітей молодшого шкільного віку, що робить їх важливим компонентом сучасних освітніх програм.</w:t>
      </w:r>
    </w:p>
    <w:p w14:paraId="03AA315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w:t>
      </w:r>
    </w:p>
    <w:p w14:paraId="33342DA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Учасники: 60 дітей віком 7-9 років, розподілені на дві групи по 30 осіб: експериментальну та контрольну.</w:t>
      </w:r>
    </w:p>
    <w:p w14:paraId="73C81EF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Попереднє тестування: оцінка початкового рівня координаційних здібностей (швидкість реакції, точність рухів) та соціальних навичок (співпраця, комунікація).</w:t>
      </w:r>
    </w:p>
    <w:p w14:paraId="5F596FA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Інтервенція: експериментальна група бере участь у мультимедійних іграх та змаганнях протягом 8 тижнів, 3 рази на тиждень по 30 хвилин. Контрольна група займається традиційними фізичними вправами та іграми.</w:t>
      </w:r>
    </w:p>
    <w:p w14:paraId="051E40A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Мультимедійні ігри: використання інтерактивних мультимедійних програм, які включають завдання на координацію рухів, швидкість реакції та командну роботу.</w:t>
      </w:r>
    </w:p>
    <w:p w14:paraId="74A3035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proofErr w:type="spellStart"/>
      <w:r>
        <w:rPr>
          <w:rFonts w:ascii="Times New Roman" w:eastAsia="Times New Roman" w:hAnsi="Times New Roman" w:cs="Times New Roman"/>
          <w:sz w:val="28"/>
          <w:szCs w:val="28"/>
        </w:rPr>
        <w:t>Посттестування</w:t>
      </w:r>
      <w:proofErr w:type="spellEnd"/>
      <w:r>
        <w:rPr>
          <w:rFonts w:ascii="Times New Roman" w:eastAsia="Times New Roman" w:hAnsi="Times New Roman" w:cs="Times New Roman"/>
          <w:sz w:val="28"/>
          <w:szCs w:val="28"/>
        </w:rPr>
        <w:t>: Повторна оцінка координаційних здібностей та соціальних навичок після завершення програми.</w:t>
      </w:r>
    </w:p>
    <w:p w14:paraId="2CC4BF3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Ігрові сценарії та сюжети:</w:t>
      </w:r>
    </w:p>
    <w:p w14:paraId="12E8258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Сценарій «Дослідження океану»:</w:t>
      </w:r>
    </w:p>
    <w:p w14:paraId="6EF56F2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Сюжет: діти стають дослідниками океану, які вивчають морське життя та збирають зразки для наукових досліджень.</w:t>
      </w:r>
    </w:p>
    <w:p w14:paraId="58B54E2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Завдання: координація рухів для керування підводним апаратом, швидкість реакції для уникнення морських перешкод, командна робота для виконання спільних завдань.</w:t>
      </w:r>
    </w:p>
    <w:p w14:paraId="3E852B0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Сценарій «Пригоди в джунглях»:</w:t>
      </w:r>
    </w:p>
    <w:p w14:paraId="15D0901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Сюжет: діти вирушають у подорож джунглями, де вони повинні знайти стародавні артефакти та розгадати таємниці.</w:t>
      </w:r>
    </w:p>
    <w:p w14:paraId="7D34DFC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Завдання: координація рухів для подолання перешкод, стратегічне мислення для розгадування загадок, співпраця для досягнення спільної мети.</w:t>
      </w:r>
    </w:p>
    <w:p w14:paraId="7079C72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Сценарій «Місто майбутнього»:</w:t>
      </w:r>
    </w:p>
    <w:p w14:paraId="0ADB338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Сюжет: діти потрапляють у віртуальне місто майбутнього, де вони повинні допомогти його мешканцям вирішити різні проблеми.</w:t>
      </w:r>
    </w:p>
    <w:p w14:paraId="1653EF8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Завдання: координація рухів для виконання завдань, швидкість реакції для вирішення кризових ситуацій, командна робота для виконання спільних завдань.</w:t>
      </w:r>
    </w:p>
    <w:p w14:paraId="2D19A83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Сценарій «Спортивні змагання»:</w:t>
      </w:r>
    </w:p>
    <w:p w14:paraId="4C576EC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Сюжет: діти беруть участь у віртуальних спортивних змаганнях, де вони змагаються у різних видах спорту, таких як футбол, баскетбол, теніс та ін.</w:t>
      </w:r>
    </w:p>
    <w:p w14:paraId="514244A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Завдання: координація рухів для виконання спортивних вправ, швидкість реакції для змагань, співпраця для командних видів спорту.</w:t>
      </w:r>
    </w:p>
    <w:p w14:paraId="76508B8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w:t>
      </w:r>
    </w:p>
    <w:p w14:paraId="0B05206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Координаційні здібності. Діти з експериментальної групи показали покращення швидкості реакції (в середньому на 8%) та точності рухів (в середньому на 6%) порівняно з контрольною групою.</w:t>
      </w:r>
    </w:p>
    <w:p w14:paraId="5EB97E3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Соціальні навички: учасники експериментальної групи продемонстрували вищий рівень співпраці та комунікації (в середньому на 10%) під час групових завдань у порівнянні з контрольною групою.</w:t>
      </w:r>
    </w:p>
    <w:p w14:paraId="0D2BD98D"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Задоволеність: діти з експериментальної групи висловили більшу задоволеність від занять (в середньому на 12%) та виявили бажання продовжувати використовувати мультимедійні ігри у майбутньому.</w:t>
      </w:r>
    </w:p>
    <w:p w14:paraId="6645BA5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результати свідчать про позитивний вплив використання мультимедійних засобів на розвиток координаційних здібностей та соціальних навичок у дітей молодшого шкільного віку, хоча й у меншій мірі.</w:t>
      </w:r>
    </w:p>
    <w:p w14:paraId="1C0A2CFE" w14:textId="77777777" w:rsidR="0025671A" w:rsidRDefault="0025671A">
      <w:pPr>
        <w:spacing w:after="0" w:line="360" w:lineRule="auto"/>
        <w:ind w:firstLine="709"/>
        <w:jc w:val="both"/>
        <w:rPr>
          <w:rFonts w:ascii="Times New Roman" w:eastAsia="Times New Roman" w:hAnsi="Times New Roman" w:cs="Times New Roman"/>
          <w:sz w:val="28"/>
          <w:szCs w:val="28"/>
        </w:rPr>
      </w:pPr>
    </w:p>
    <w:p w14:paraId="4D6CC525"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18" w:name="_2jxsxqh" w:colFirst="0" w:colLast="0"/>
      <w:bookmarkEnd w:id="18"/>
      <w:r>
        <w:rPr>
          <w:rFonts w:ascii="Times New Roman" w:eastAsia="Times New Roman" w:hAnsi="Times New Roman" w:cs="Times New Roman"/>
          <w:b/>
          <w:color w:val="000000"/>
          <w:sz w:val="28"/>
          <w:szCs w:val="28"/>
        </w:rPr>
        <w:t>3.2. Інтерпретація результатів дослідження організації ігрової діяльності дітей молодшого шкільного віку засобами інноваційних технологій фізичного виховання</w:t>
      </w:r>
    </w:p>
    <w:p w14:paraId="60D3F11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досліджень, які ми розглянули, свідчать про позитивний вплив використання віртуальної реальності та мультимедійних засобів на розвиток координаційних здібностей та соціальних навичок у дітей молодшого шкільного віку. </w:t>
      </w:r>
    </w:p>
    <w:p w14:paraId="3DD5A2C1"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які брали участь у VR-іграх, показали покращення швидкості реакції на 10% та точності рухів на 8%. Це свідчить про те, що інтерактивні завдання у віртуальному середовищі ефективно стимулюють розвиток моторних навичок та координації.</w:t>
      </w:r>
    </w:p>
    <w:p w14:paraId="47D188F3"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Швидкість реакції – це здатність організму швидко відповідати на зовнішні стимули. У дітей молодшого шкільного віку вона вимірюється за допомогою різних тестів, які оцінюють, наскільки швидко дитина може реагувати на візуальні або </w:t>
      </w:r>
      <w:proofErr w:type="spellStart"/>
      <w:r>
        <w:rPr>
          <w:rFonts w:ascii="Times New Roman" w:eastAsia="Times New Roman" w:hAnsi="Times New Roman" w:cs="Times New Roman"/>
          <w:sz w:val="28"/>
          <w:szCs w:val="28"/>
        </w:rPr>
        <w:t>аудіальні</w:t>
      </w:r>
      <w:proofErr w:type="spellEnd"/>
      <w:r>
        <w:rPr>
          <w:rFonts w:ascii="Times New Roman" w:eastAsia="Times New Roman" w:hAnsi="Times New Roman" w:cs="Times New Roman"/>
          <w:sz w:val="28"/>
          <w:szCs w:val="28"/>
        </w:rPr>
        <w:t xml:space="preserve"> сигнали. Наприклад, один з методів включає використання спеціальних пристроїв, які фіксують час реакції на світлові або звукові сигнали. Дитина повинна натиснути кнопку або виконати певну дію, як тільки побачить або почує сигнал. Інший метод – це ігрові завдання, де дитина повинна швидко реагувати на зміну умов гри, наприклад, ловити м’яч або уникати перешкод. Такі тести допомагають визначити, наскільки швидко дитина може обробляти інформацію і відповідати на неї, що є важливим показником розвитку її нервової системи та координаційних здібностей.</w:t>
      </w:r>
    </w:p>
    <w:p w14:paraId="4C7FAD0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реакції є важливою для дітей молодшого шкільного віку з кількох причин. По-перше, вона сприяє розвитку координації та моторних навичок. Діти в цьому віці активно вивчають навколишній світ через рух, і швидка реакція допомагає їм краще орієнтуватися в просторі та виконувати різні фізичні завдання.</w:t>
      </w:r>
    </w:p>
    <w:p w14:paraId="591D4B04"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швидкість реакції важлива для безпеки. Діти часто опиняються в ситуаціях, де необхідно швидко реагувати, щоб уникнути небезпеки, наприклад, під час гри на вулиці або в спортзалі.</w:t>
      </w:r>
    </w:p>
    <w:p w14:paraId="53D3CD1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розвиток швидкості реакції позитивно впливає на навчальний процес. Діти, які швидко реагують, краще справляються з завданнями, що вимагають швидкого прийняття рішень, що може покращити їхні академічні досягнення.</w:t>
      </w:r>
    </w:p>
    <w:p w14:paraId="7F70CA9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важливо зазначити, що швидкість реакції пов’язана з розвитком нервової системи. Висока реактивність і пластичність нервової системи в цьому віці сприяють швидшому та ефективнішому засвоєнню нових навичок.</w:t>
      </w:r>
    </w:p>
    <w:p w14:paraId="2519FD9F"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Точність рухів – це здатність виконувати рухи з високою точністю, відповідно до заданих параметрів, таких як напрямок, сила та швидкість. У дітей молодшого шкільного віку точність рухів вимірюється за допомогою </w:t>
      </w:r>
      <w:r>
        <w:rPr>
          <w:rFonts w:ascii="Times New Roman" w:eastAsia="Times New Roman" w:hAnsi="Times New Roman" w:cs="Times New Roman"/>
          <w:sz w:val="28"/>
          <w:szCs w:val="28"/>
        </w:rPr>
        <w:lastRenderedPageBreak/>
        <w:t>різних тестів та вправ, які оцінюють їхню здатність точно виконувати завдання. Наприклад, один з методів включає використання тестів на влучання в ціль, де дитина повинна кидати м’яч або інший предмет у визначену точку. Інший метод – це проходження по прямій лінії, де оцінюється здатність дитини рухатися без відхилень від заданого маршруту. Також використовуються вправи на ведення м’яча через перешкоди, що допомагає оцінити координацію та точність рухів. Ці тести допомагають визначити, наскільки добре дитина може контролювати свої рухи та виконувати завдання з високою точністю, що є важливим показником розвитку її моторних навичок.</w:t>
      </w:r>
    </w:p>
    <w:p w14:paraId="712377B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Точність рухів є важливою для дітей молодшого шкільного віку з кількох причин. По-перше, вона сприяє розвитку координаційних здібностей, що є основою для виконання більш складних фізичних вправ та рухових завдань. Діти, які вміють точно виконувати рухи, краще справляються з різними видами фізичної активності, що позитивно впливає на їхнє загальне фізичне здоров’я.</w:t>
      </w:r>
    </w:p>
    <w:p w14:paraId="78B518E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точність рухів допомагає у розвитку дрібної моторики, яка є важливою для виконання повсякденних завдань, таких як писання, малювання, застібання ґудзиків тощо. Це, в свою чергу, сприяє успішності в навчанні та розвитку самостійності.</w:t>
      </w:r>
    </w:p>
    <w:p w14:paraId="568912F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точність рухів пов’язана з розвитком когнітивних навичок, таких як концентрація, увага та планування. Діти, які вміють точно виконувати рухи, часто демонструють кращі результати в навчанні, оскільки вони здатні краще зосереджуватися на завданнях і планувати свої дії.</w:t>
      </w:r>
    </w:p>
    <w:p w14:paraId="63AA28E2"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важливо зазначити, що точність рухів сприяє соціальному розвитку дітей. Вони вчаться працювати в команді, виконувати спільні завдання та підтримувати один одного, що є важливим аспектом соціалізації.</w:t>
      </w:r>
    </w:p>
    <w:p w14:paraId="11EF500E"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Учасники, які використовували мультимедійні ігри, також продемонстрували покращення, хоча й у меншій мірі: швидкість реакції зросла на 8%, а точність рухів на 6%. Це вказує на те, що мультимедійні засоби також можуть бути корисними для розвитку координаційних здібностей, хоча їхній вплив може бути менш вираженим порівняно з VR.</w:t>
      </w:r>
    </w:p>
    <w:p w14:paraId="24DED66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Віртуальна реальність: діти з експериментальної групи показали покращення співпраці та комунікації на 12%. Це свідчить про те, що VR-ігри, які вимагають командної роботи та взаємодії, сприяють розвитку соціальних навичок.</w:t>
      </w:r>
    </w:p>
    <w:p w14:paraId="13D49C9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Виміряти покращення співпраці у дітей молодшого шкільного віку можна за допомогою різних методів. Один з них – це спостереження за поведінкою дітей під час групових завдань, де можна оцінити, як вони взаємодіють один з одним, чи допомагають один одному, чи вміють слухати та враховувати думки інших. Також можна використовувати анкети або опитувальники для вчителів, батьків та самих дітей, щоб отримати їхню оцінку рівня співпраці. Ще один метод – це аналіз результатів спільних проектів або завдань, де можна побачити, наскільки ефективно діти працюють разом і досягають спільних цілей. Важливо також враховувати зміни в соціальних навичках дітей, таких як здатність до компромісу, вирішення конфліктів та підтримка один одного. Використання ігор та рольових вправ може допомогти виявити рівень співпраці та його покращення. Педагогічне тестування та методи математичної статистики також можуть бути корисними для більш об’єктивної оцінки змін у співпраці дітей.</w:t>
      </w:r>
    </w:p>
    <w:p w14:paraId="5E881EE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Співпраця є важливою для дітей з кількох причин. По-перше, вона допомагає розвивати соціальні навички, такі як комунікація, емпатія та вміння працювати в команді. Діти вчаться слухати інших, висловлювати свої думки та враховувати різні точки зору.</w:t>
      </w:r>
    </w:p>
    <w:p w14:paraId="271659C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По-друге, співпраця сприяє розвитку критичного мислення та вирішення проблем. Працюючи разом, діти можуть обговорювати різні підходи до вирішення завдань, аналізувати ситуації з різних кутів та знаходити креативні рішення. Крім того, співпраця підвищує мотивацію та залученість у навчальний процес. Діти, які працюють у групах, часто відчувають більшу відповідальність за спільний результат і більше зацікавлені у досягненні успіху. Також співпраця готує дітей до майбутнього, допомагаючи їм розвивати навички, які будуть </w:t>
      </w:r>
      <w:r>
        <w:rPr>
          <w:rFonts w:ascii="Times New Roman" w:eastAsia="Times New Roman" w:hAnsi="Times New Roman" w:cs="Times New Roman"/>
          <w:sz w:val="28"/>
          <w:szCs w:val="28"/>
        </w:rPr>
        <w:lastRenderedPageBreak/>
        <w:t>корисні в дорослому житті, такі як лідерство, самоуправління та вміння працювати в колективі</w:t>
      </w:r>
    </w:p>
    <w:p w14:paraId="1F7F5401"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Учасники, які використовували мультимедійні ігри, продемонстрували покращення співпраці та комунікації на 10%. Це вказує на те, що мультимедійні ігри також можуть сприяти розвитку соціальних навичок, хоча їхній вплив може бути трохи менш вираженим.</w:t>
      </w:r>
    </w:p>
    <w:p w14:paraId="72C677F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висловили більшу задоволеність від занять (на 15%) та виявили бажання продовжувати використовувати VR-ігри у майбутньому. Це свідчить про високу мотивацію та інтерес до VR-технологій, що може сприяти їхньому подальшому використанню в освітніх програмах.</w:t>
      </w:r>
    </w:p>
    <w:p w14:paraId="42F605A5"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Учасники також висловили задоволеність від занять (на 12%) та виявили бажання продовжувати використовувати мультимедійні ігри. Це вказує на те, що мультимедійні засоби також можуть бути ефективними для залучення дітей до навчального процесу.</w:t>
      </w:r>
    </w:p>
    <w:p w14:paraId="7343519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результати досліджень свідчать про те, що як віртуальна реальність, так і мультимедійні засоби можуть бути ефективними інструментами для розвитку координаційних здібностей та соціальних навичок у дітей молодшого шкільного віку. Вони також показують, що ці технології можуть підвищити задоволеність дітей від навчального процесу, що є важливим фактором для їхнього подальшого використання в освітніх програмах.</w:t>
      </w:r>
    </w:p>
    <w:p w14:paraId="789E3F6F" w14:textId="77777777" w:rsidR="0025671A" w:rsidRDefault="0025671A">
      <w:pPr>
        <w:spacing w:after="0" w:line="360" w:lineRule="auto"/>
        <w:ind w:firstLine="709"/>
        <w:jc w:val="both"/>
        <w:rPr>
          <w:rFonts w:ascii="Times New Roman" w:eastAsia="Times New Roman" w:hAnsi="Times New Roman" w:cs="Times New Roman"/>
          <w:sz w:val="28"/>
          <w:szCs w:val="28"/>
        </w:rPr>
      </w:pPr>
    </w:p>
    <w:p w14:paraId="69F4720B" w14:textId="77777777" w:rsidR="0025671A" w:rsidRDefault="00D74137">
      <w:pPr>
        <w:pStyle w:val="1"/>
        <w:spacing w:before="0" w:line="360" w:lineRule="auto"/>
        <w:ind w:firstLine="709"/>
        <w:jc w:val="both"/>
        <w:rPr>
          <w:rFonts w:ascii="Times New Roman" w:eastAsia="Times New Roman" w:hAnsi="Times New Roman" w:cs="Times New Roman"/>
          <w:b/>
          <w:color w:val="000000"/>
          <w:sz w:val="28"/>
          <w:szCs w:val="28"/>
        </w:rPr>
      </w:pPr>
      <w:bookmarkStart w:id="19" w:name="_z337ya" w:colFirst="0" w:colLast="0"/>
      <w:bookmarkEnd w:id="19"/>
      <w:r>
        <w:rPr>
          <w:rFonts w:ascii="Times New Roman" w:eastAsia="Times New Roman" w:hAnsi="Times New Roman" w:cs="Times New Roman"/>
          <w:b/>
          <w:color w:val="000000"/>
          <w:sz w:val="28"/>
          <w:szCs w:val="28"/>
        </w:rPr>
        <w:t>Висновки до розділу 3</w:t>
      </w:r>
    </w:p>
    <w:p w14:paraId="61C7FF6A"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під час організації досліджень ігрової діяльності дітей молодшого шкільного віку засобами інноваційних технологій фізичного виховання важливо звертати увагу на кілька ключових аспектів. По-перше, необхідно враховувати вікові та індивідуальні особливості дітей, щоб забезпечити безпеку та ефективність занять. Це включає адаптацію програм до фізичних можливостей та рівня розвитку кожної дитини. По-друге, важливо забезпечити різноманітність ігор та змагань, щоб підтримувати інтерес дітей та </w:t>
      </w:r>
      <w:r>
        <w:rPr>
          <w:rFonts w:ascii="Times New Roman" w:eastAsia="Times New Roman" w:hAnsi="Times New Roman" w:cs="Times New Roman"/>
          <w:sz w:val="28"/>
          <w:szCs w:val="28"/>
        </w:rPr>
        <w:lastRenderedPageBreak/>
        <w:t>уникати монотонності. Використання різних типів ігор, таких як рухливі, стратегічні та координаційні, допоможе розвивати різні фізичні та когнітивні навички. По-третє, слід забезпечити належну підготовку та навчання педагогів і тренерів, які будуть використовувати інноваційні технології. Вони повинні володіти необхідними знаннями та навичками для ефективного впровадження цих технологій у навчальний процес. Крім того, важливо проводити регулярний моніторинг та оцінку ефективності програм, щоб вчасно вносити корективи та покращувати методики. Також слід враховувати психологічні аспекти, такі як мотивація та емоційний стан дітей, оскільки позитивний емоційний фон сприяє кращому засвоєнню матеріалу та розвитку навичок. Нарешті, важливо забезпечити інтеграцію інноваційних технологій у загальну систему фізичного виховання, щоб вони доповнювали, а не замінювали традиційні методи, створюючи гармонійний та збалансований підхід до розвитку дітей.</w:t>
      </w:r>
    </w:p>
    <w:p w14:paraId="509E632B"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досліджень свідчать про те, що як віртуальна реальність, так і мультимедійні засоби можуть бути ефективними інструментами для розвитку координаційних здібностей та соціальних навичок у дітей молодшого шкільного віку. Вони також показують, що ці технології можуть підвищити задоволеність дітей від навчального процесу, що є важливим фактором для їхнього подальшого використання в освітніх програмах.</w:t>
      </w:r>
    </w:p>
    <w:p w14:paraId="674F4468" w14:textId="77777777" w:rsidR="0025671A" w:rsidRDefault="0025671A">
      <w:pPr>
        <w:spacing w:after="0" w:line="360" w:lineRule="auto"/>
        <w:ind w:firstLine="709"/>
        <w:jc w:val="both"/>
        <w:rPr>
          <w:rFonts w:ascii="Times New Roman" w:eastAsia="Times New Roman" w:hAnsi="Times New Roman" w:cs="Times New Roman"/>
          <w:sz w:val="28"/>
          <w:szCs w:val="28"/>
        </w:rPr>
      </w:pPr>
    </w:p>
    <w:p w14:paraId="6700372D" w14:textId="77777777" w:rsidR="0025671A" w:rsidRDefault="0025671A">
      <w:pPr>
        <w:spacing w:after="0" w:line="360" w:lineRule="auto"/>
        <w:jc w:val="both"/>
        <w:rPr>
          <w:rFonts w:ascii="Times New Roman" w:eastAsia="Times New Roman" w:hAnsi="Times New Roman" w:cs="Times New Roman"/>
          <w:sz w:val="28"/>
          <w:szCs w:val="28"/>
        </w:rPr>
      </w:pPr>
    </w:p>
    <w:p w14:paraId="0E519AAF" w14:textId="77777777" w:rsidR="0025671A" w:rsidRDefault="0025671A">
      <w:pPr>
        <w:spacing w:after="0" w:line="360" w:lineRule="auto"/>
        <w:jc w:val="both"/>
        <w:rPr>
          <w:rFonts w:ascii="Times New Roman" w:eastAsia="Times New Roman" w:hAnsi="Times New Roman" w:cs="Times New Roman"/>
          <w:sz w:val="28"/>
          <w:szCs w:val="28"/>
        </w:rPr>
      </w:pPr>
    </w:p>
    <w:p w14:paraId="6BA7DD2D" w14:textId="77777777" w:rsidR="0025671A" w:rsidRDefault="0025671A">
      <w:pPr>
        <w:spacing w:after="0" w:line="360" w:lineRule="auto"/>
        <w:jc w:val="both"/>
        <w:rPr>
          <w:rFonts w:ascii="Times New Roman" w:eastAsia="Times New Roman" w:hAnsi="Times New Roman" w:cs="Times New Roman"/>
          <w:sz w:val="28"/>
          <w:szCs w:val="28"/>
        </w:rPr>
      </w:pPr>
    </w:p>
    <w:p w14:paraId="21DCEAA1" w14:textId="77777777" w:rsidR="0025671A" w:rsidRDefault="0025671A">
      <w:pPr>
        <w:spacing w:after="0" w:line="360" w:lineRule="auto"/>
        <w:jc w:val="both"/>
        <w:rPr>
          <w:rFonts w:ascii="Times New Roman" w:eastAsia="Times New Roman" w:hAnsi="Times New Roman" w:cs="Times New Roman"/>
          <w:sz w:val="28"/>
          <w:szCs w:val="28"/>
        </w:rPr>
      </w:pPr>
    </w:p>
    <w:p w14:paraId="3321EFE4" w14:textId="77777777" w:rsidR="0025671A" w:rsidRDefault="0025671A">
      <w:pPr>
        <w:spacing w:after="0" w:line="360" w:lineRule="auto"/>
        <w:jc w:val="both"/>
        <w:rPr>
          <w:rFonts w:ascii="Times New Roman" w:eastAsia="Times New Roman" w:hAnsi="Times New Roman" w:cs="Times New Roman"/>
          <w:sz w:val="28"/>
          <w:szCs w:val="28"/>
        </w:rPr>
      </w:pPr>
    </w:p>
    <w:p w14:paraId="37FCC9A8" w14:textId="77777777" w:rsidR="0025671A" w:rsidRDefault="0025671A">
      <w:pPr>
        <w:spacing w:after="0" w:line="360" w:lineRule="auto"/>
        <w:jc w:val="both"/>
        <w:rPr>
          <w:rFonts w:ascii="Times New Roman" w:eastAsia="Times New Roman" w:hAnsi="Times New Roman" w:cs="Times New Roman"/>
          <w:sz w:val="28"/>
          <w:szCs w:val="28"/>
        </w:rPr>
      </w:pPr>
    </w:p>
    <w:p w14:paraId="77D104F9" w14:textId="77777777" w:rsidR="0025671A" w:rsidRDefault="0025671A">
      <w:pPr>
        <w:spacing w:after="0" w:line="360" w:lineRule="auto"/>
        <w:jc w:val="both"/>
        <w:rPr>
          <w:rFonts w:ascii="Times New Roman" w:eastAsia="Times New Roman" w:hAnsi="Times New Roman" w:cs="Times New Roman"/>
          <w:sz w:val="28"/>
          <w:szCs w:val="28"/>
        </w:rPr>
      </w:pPr>
    </w:p>
    <w:p w14:paraId="28B8C795" w14:textId="77777777" w:rsidR="0025671A" w:rsidRDefault="0025671A">
      <w:pPr>
        <w:spacing w:after="0" w:line="360" w:lineRule="auto"/>
        <w:jc w:val="both"/>
        <w:rPr>
          <w:rFonts w:ascii="Times New Roman" w:eastAsia="Times New Roman" w:hAnsi="Times New Roman" w:cs="Times New Roman"/>
          <w:sz w:val="28"/>
          <w:szCs w:val="28"/>
        </w:rPr>
      </w:pPr>
    </w:p>
    <w:p w14:paraId="53CD742C" w14:textId="77777777" w:rsidR="0025671A" w:rsidRDefault="0025671A">
      <w:pPr>
        <w:spacing w:after="0" w:line="360" w:lineRule="auto"/>
        <w:jc w:val="both"/>
        <w:rPr>
          <w:rFonts w:ascii="Times New Roman" w:eastAsia="Times New Roman" w:hAnsi="Times New Roman" w:cs="Times New Roman"/>
          <w:sz w:val="28"/>
          <w:szCs w:val="28"/>
        </w:rPr>
      </w:pPr>
    </w:p>
    <w:p w14:paraId="0BEE9C0C" w14:textId="77777777" w:rsidR="0025671A" w:rsidRDefault="00D74137">
      <w:pPr>
        <w:pStyle w:val="1"/>
        <w:spacing w:before="0" w:line="360" w:lineRule="auto"/>
        <w:jc w:val="center"/>
        <w:rPr>
          <w:rFonts w:ascii="Times New Roman" w:eastAsia="Times New Roman" w:hAnsi="Times New Roman" w:cs="Times New Roman"/>
          <w:b/>
          <w:smallCaps/>
          <w:color w:val="000000"/>
          <w:sz w:val="28"/>
          <w:szCs w:val="28"/>
        </w:rPr>
      </w:pPr>
      <w:bookmarkStart w:id="20" w:name="_3j2qqm3" w:colFirst="0" w:colLast="0"/>
      <w:bookmarkEnd w:id="20"/>
      <w:r>
        <w:rPr>
          <w:rFonts w:ascii="Times New Roman" w:eastAsia="Times New Roman" w:hAnsi="Times New Roman" w:cs="Times New Roman"/>
          <w:b/>
          <w:smallCaps/>
          <w:color w:val="000000"/>
          <w:sz w:val="28"/>
          <w:szCs w:val="28"/>
        </w:rPr>
        <w:lastRenderedPageBreak/>
        <w:t xml:space="preserve">ВИСНОВКИ </w:t>
      </w:r>
    </w:p>
    <w:p w14:paraId="5BE52697" w14:textId="77777777" w:rsidR="0025671A" w:rsidRDefault="0025671A">
      <w:pPr>
        <w:spacing w:after="0" w:line="360" w:lineRule="auto"/>
        <w:ind w:firstLine="709"/>
        <w:jc w:val="both"/>
        <w:rPr>
          <w:rFonts w:ascii="Times New Roman" w:eastAsia="Times New Roman" w:hAnsi="Times New Roman" w:cs="Times New Roman"/>
          <w:sz w:val="28"/>
          <w:szCs w:val="28"/>
        </w:rPr>
      </w:pPr>
    </w:p>
    <w:p w14:paraId="01064B79"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на основі аналізу навчальних та наукових джерел досліджено організацію ігрової діяльності дітей молодшого шкільного віку засобами інноваційних технологій фізичного виховання та зроблено такі основні висновки:</w:t>
      </w:r>
    </w:p>
    <w:p w14:paraId="698A018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Інноваційні технології у фізичному вихованні значно підвищують ефективність навчального процесу та покращують здоров’я учнів. Використання інформаційних технологій, таких як фітнес-</w:t>
      </w:r>
      <w:proofErr w:type="spellStart"/>
      <w:r>
        <w:rPr>
          <w:rFonts w:ascii="Times New Roman" w:eastAsia="Times New Roman" w:hAnsi="Times New Roman" w:cs="Times New Roman"/>
          <w:sz w:val="28"/>
          <w:szCs w:val="28"/>
        </w:rPr>
        <w:t>трекери</w:t>
      </w:r>
      <w:proofErr w:type="spellEnd"/>
      <w:r>
        <w:rPr>
          <w:rFonts w:ascii="Times New Roman" w:eastAsia="Times New Roman" w:hAnsi="Times New Roman" w:cs="Times New Roman"/>
          <w:sz w:val="28"/>
          <w:szCs w:val="28"/>
        </w:rPr>
        <w:t xml:space="preserve"> та мобільні додатки, дозволяє детально </w:t>
      </w:r>
      <w:proofErr w:type="spellStart"/>
      <w:r>
        <w:rPr>
          <w:rFonts w:ascii="Times New Roman" w:eastAsia="Times New Roman" w:hAnsi="Times New Roman" w:cs="Times New Roman"/>
          <w:sz w:val="28"/>
          <w:szCs w:val="28"/>
        </w:rPr>
        <w:t>моніторити</w:t>
      </w:r>
      <w:proofErr w:type="spellEnd"/>
      <w:r>
        <w:rPr>
          <w:rFonts w:ascii="Times New Roman" w:eastAsia="Times New Roman" w:hAnsi="Times New Roman" w:cs="Times New Roman"/>
          <w:sz w:val="28"/>
          <w:szCs w:val="28"/>
        </w:rPr>
        <w:t xml:space="preserve"> фізичну активність. Оздоровчі програми, включаючи йогу та </w:t>
      </w:r>
      <w:proofErr w:type="spellStart"/>
      <w:r>
        <w:rPr>
          <w:rFonts w:ascii="Times New Roman" w:eastAsia="Times New Roman" w:hAnsi="Times New Roman" w:cs="Times New Roman"/>
          <w:sz w:val="28"/>
          <w:szCs w:val="28"/>
        </w:rPr>
        <w:t>пілатес</w:t>
      </w:r>
      <w:proofErr w:type="spellEnd"/>
      <w:r>
        <w:rPr>
          <w:rFonts w:ascii="Times New Roman" w:eastAsia="Times New Roman" w:hAnsi="Times New Roman" w:cs="Times New Roman"/>
          <w:sz w:val="28"/>
          <w:szCs w:val="28"/>
        </w:rPr>
        <w:t>, сприяють загальному зміцненню здоров’я. Сучасні методики тренувань, такі як інтервальні тренування, допомагають досягати кращих результатів. Індивідуалізація підходу та наукова обґрунтованість методик забезпечують гармонійний розвиток учнів.</w:t>
      </w:r>
    </w:p>
    <w:p w14:paraId="6E6A5896"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Інноваційні технології у фізичному вихованні для дітей молодшого шкільного віку включають інтерактивні ігри та програми, які використовують елементи </w:t>
      </w:r>
      <w:proofErr w:type="spellStart"/>
      <w:r>
        <w:rPr>
          <w:rFonts w:ascii="Times New Roman" w:eastAsia="Times New Roman" w:hAnsi="Times New Roman" w:cs="Times New Roman"/>
          <w:sz w:val="28"/>
          <w:szCs w:val="28"/>
        </w:rPr>
        <w:t>гейміфікації</w:t>
      </w:r>
      <w:proofErr w:type="spellEnd"/>
      <w:r>
        <w:rPr>
          <w:rFonts w:ascii="Times New Roman" w:eastAsia="Times New Roman" w:hAnsi="Times New Roman" w:cs="Times New Roman"/>
          <w:sz w:val="28"/>
          <w:szCs w:val="28"/>
        </w:rPr>
        <w:t xml:space="preserve"> для залучення дітей до фізичної активності. Програми на основі доповненої реальності (AR) дозволяють дітям виконувати вправи, слідуючи за віртуальними персонажами або об’єктами, що робить процес тренувань більш захоплюючим та цікавим. Використання сенсорних пристроїв, таких як фітнес-</w:t>
      </w:r>
      <w:proofErr w:type="spellStart"/>
      <w:r>
        <w:rPr>
          <w:rFonts w:ascii="Times New Roman" w:eastAsia="Times New Roman" w:hAnsi="Times New Roman" w:cs="Times New Roman"/>
          <w:sz w:val="28"/>
          <w:szCs w:val="28"/>
        </w:rPr>
        <w:t>трекери</w:t>
      </w:r>
      <w:proofErr w:type="spellEnd"/>
      <w:r>
        <w:rPr>
          <w:rFonts w:ascii="Times New Roman" w:eastAsia="Times New Roman" w:hAnsi="Times New Roman" w:cs="Times New Roman"/>
          <w:sz w:val="28"/>
          <w:szCs w:val="28"/>
        </w:rPr>
        <w:t>, допомагає відстежувати фізичну активність дітей, їхній пульс, кількість кроків та витрачені калорії. Інтерактивні дошки та мультимедійні засоби використовуються для проведення уроків фізичної культури, де діти можуть дивитися навчальні відео, виконувати вправи під музику або слідкувати за інструкціями віртуальних тренерів. Віртуальна реальність (VR) також знаходить своє застосування у фізичному вихованні, імітуючи різні спортивні ситуації, що дозволяє дітям тренуватися в умовах, наближених до реальних змагань.</w:t>
      </w:r>
    </w:p>
    <w:p w14:paraId="00D55A0C"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Дослідники зробили значний внесок у розвиток методик фізичного виховання та організації ігрової діяльності дітей, що дозволяє підвищити </w:t>
      </w:r>
      <w:r>
        <w:rPr>
          <w:rFonts w:ascii="Times New Roman" w:eastAsia="Times New Roman" w:hAnsi="Times New Roman" w:cs="Times New Roman"/>
          <w:sz w:val="28"/>
          <w:szCs w:val="28"/>
        </w:rPr>
        <w:lastRenderedPageBreak/>
        <w:t xml:space="preserve">ефективність навчального процесу та сприяти всебічному розвитку дітей. Для наукового та практичного вирішення питання організації ігрової діяльності дітей молодшого шкільного віку засобами інноваційних технологій фізичного виховання було здійснено оцінку найпростіших антропометричних показників – маси тіла, росту, окружності грудної клітки, здійснено </w:t>
      </w:r>
      <w:proofErr w:type="spellStart"/>
      <w:r>
        <w:rPr>
          <w:rFonts w:ascii="Times New Roman" w:eastAsia="Times New Roman" w:hAnsi="Times New Roman" w:cs="Times New Roman"/>
          <w:sz w:val="28"/>
          <w:szCs w:val="28"/>
        </w:rPr>
        <w:t>тонометрію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пульсометрію</w:t>
      </w:r>
      <w:proofErr w:type="spellEnd"/>
      <w:r>
        <w:rPr>
          <w:rFonts w:ascii="Times New Roman" w:eastAsia="Times New Roman" w:hAnsi="Times New Roman" w:cs="Times New Roman"/>
          <w:sz w:val="28"/>
          <w:szCs w:val="28"/>
        </w:rPr>
        <w:t>, спірометрію.</w:t>
      </w:r>
    </w:p>
    <w:p w14:paraId="13EC3309" w14:textId="77777777" w:rsidR="0025671A" w:rsidRDefault="00D74137">
      <w:pPr>
        <w:tabs>
          <w:tab w:val="left" w:pos="109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Педагогічні методи дослідження організації ігрової діяльності дітей молодшого шкільного віку засобами інноваційних технологій фізичного виховання включають різноманітні підходи та інструменти, спрямовані на покращення фізичного розвитку та загального благополуччя дітей. </w:t>
      </w:r>
    </w:p>
    <w:p w14:paraId="676EAE58"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організації досліджень ігрової діяльності дітей молодшого шкільного віку засобами інноваційних технологій фізичного виховання важливо звертати увагу на кілька ключових аспектів. По-перше, необхідно враховувати вікові та індивідуальні особливості дітей, щоб забезпечити безпеку та ефективність занять. Це включає адаптацію програм до фізичних можливостей та рівня розвитку кожної дитини. По-друге, важливо забезпечити різноманітність ігор та змагань, щоб підтримувати інтерес дітей та уникати монотонності. Використання різних типів ігор, таких як рухливі, стратегічні та координаційні, допоможе розвивати різні фізичні та когнітивні навички. По-третє, слід забезпечити належну підготовку та навчання педагогів і тренерів, які будуть використовувати інноваційні технології. Вони повинні володіти необхідними знаннями та навичками для ефективного впровадження цих технологій у навчальний процес. Крім того, важливо проводити регулярний моніторинг та оцінку ефективності програм, щоб вчасно вносити корективи та покращувати методики. Також слід враховувати психологічні аспекти, такі як мотивація та емоційний стан дітей, оскільки позитивний емоційний фон сприяє кращому засвоєнню матеріалу та розвитку навичок. Нарешті, важливо забезпечити інтеграцію інноваційних технологій у загальну систему фізичного виховання, щоб вони доповнювали, а не замінювали традиційні методи, створюючи гармонійний та збалансований підхід до розвитку дітей.</w:t>
      </w:r>
    </w:p>
    <w:p w14:paraId="1C2355A7" w14:textId="77777777" w:rsidR="0025671A" w:rsidRDefault="00D741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Результати досліджень свідчать про те, що як віртуальна реальність, так і мультимедійні засоби можуть бути ефективними інструментами для розвитку координаційних здібностей та соціальних навичок у дітей молодшого шкільного віку. Вони також показують, що ці технології можуть підвищити задоволеність дітей від навчального процесу, що є важливим фактором для їхнього подальшого використання в освітніх програмах.</w:t>
      </w:r>
    </w:p>
    <w:p w14:paraId="1299A437" w14:textId="77777777" w:rsidR="0025671A" w:rsidRDefault="0025671A">
      <w:pPr>
        <w:spacing w:after="0" w:line="360" w:lineRule="auto"/>
        <w:ind w:firstLine="709"/>
        <w:jc w:val="both"/>
        <w:rPr>
          <w:rFonts w:ascii="Times New Roman" w:eastAsia="Times New Roman" w:hAnsi="Times New Roman" w:cs="Times New Roman"/>
          <w:sz w:val="28"/>
          <w:szCs w:val="28"/>
        </w:rPr>
      </w:pPr>
    </w:p>
    <w:p w14:paraId="2B3D7C77" w14:textId="77777777" w:rsidR="0025671A" w:rsidRDefault="0025671A">
      <w:pPr>
        <w:spacing w:after="0" w:line="360" w:lineRule="auto"/>
        <w:jc w:val="both"/>
        <w:rPr>
          <w:rFonts w:ascii="Times New Roman" w:eastAsia="Times New Roman" w:hAnsi="Times New Roman" w:cs="Times New Roman"/>
          <w:sz w:val="28"/>
          <w:szCs w:val="28"/>
        </w:rPr>
      </w:pPr>
    </w:p>
    <w:p w14:paraId="70DCBAB1" w14:textId="77777777" w:rsidR="0025671A" w:rsidRDefault="0025671A">
      <w:pPr>
        <w:spacing w:after="0" w:line="360" w:lineRule="auto"/>
        <w:jc w:val="both"/>
        <w:rPr>
          <w:rFonts w:ascii="Times New Roman" w:eastAsia="Times New Roman" w:hAnsi="Times New Roman" w:cs="Times New Roman"/>
          <w:sz w:val="28"/>
          <w:szCs w:val="28"/>
        </w:rPr>
      </w:pPr>
    </w:p>
    <w:p w14:paraId="5EF313DB" w14:textId="77777777" w:rsidR="0025671A" w:rsidRDefault="0025671A">
      <w:pPr>
        <w:spacing w:after="0" w:line="360" w:lineRule="auto"/>
        <w:jc w:val="both"/>
        <w:rPr>
          <w:rFonts w:ascii="Times New Roman" w:eastAsia="Times New Roman" w:hAnsi="Times New Roman" w:cs="Times New Roman"/>
          <w:sz w:val="28"/>
          <w:szCs w:val="28"/>
        </w:rPr>
      </w:pPr>
    </w:p>
    <w:p w14:paraId="2E4DA6A1" w14:textId="77777777" w:rsidR="0025671A" w:rsidRDefault="0025671A">
      <w:pPr>
        <w:spacing w:after="0" w:line="360" w:lineRule="auto"/>
        <w:jc w:val="both"/>
        <w:rPr>
          <w:rFonts w:ascii="Times New Roman" w:eastAsia="Times New Roman" w:hAnsi="Times New Roman" w:cs="Times New Roman"/>
          <w:sz w:val="28"/>
          <w:szCs w:val="28"/>
        </w:rPr>
      </w:pPr>
    </w:p>
    <w:p w14:paraId="73FE41CE" w14:textId="77777777" w:rsidR="0025671A" w:rsidRDefault="0025671A">
      <w:pPr>
        <w:spacing w:after="0" w:line="360" w:lineRule="auto"/>
        <w:jc w:val="both"/>
        <w:rPr>
          <w:rFonts w:ascii="Times New Roman" w:eastAsia="Times New Roman" w:hAnsi="Times New Roman" w:cs="Times New Roman"/>
          <w:sz w:val="28"/>
          <w:szCs w:val="28"/>
        </w:rPr>
      </w:pPr>
    </w:p>
    <w:p w14:paraId="7C2F7B6F" w14:textId="77777777" w:rsidR="0025671A" w:rsidRDefault="0025671A">
      <w:pPr>
        <w:spacing w:after="0" w:line="360" w:lineRule="auto"/>
        <w:jc w:val="both"/>
        <w:rPr>
          <w:rFonts w:ascii="Times New Roman" w:eastAsia="Times New Roman" w:hAnsi="Times New Roman" w:cs="Times New Roman"/>
          <w:sz w:val="28"/>
          <w:szCs w:val="28"/>
        </w:rPr>
      </w:pPr>
    </w:p>
    <w:p w14:paraId="449F5E6A" w14:textId="77777777" w:rsidR="0025671A" w:rsidRDefault="0025671A">
      <w:pPr>
        <w:spacing w:after="0" w:line="360" w:lineRule="auto"/>
        <w:jc w:val="both"/>
        <w:rPr>
          <w:rFonts w:ascii="Times New Roman" w:eastAsia="Times New Roman" w:hAnsi="Times New Roman" w:cs="Times New Roman"/>
          <w:sz w:val="28"/>
          <w:szCs w:val="28"/>
        </w:rPr>
      </w:pPr>
    </w:p>
    <w:p w14:paraId="30F5E38C" w14:textId="77777777" w:rsidR="0025671A" w:rsidRDefault="0025671A">
      <w:pPr>
        <w:spacing w:after="0" w:line="360" w:lineRule="auto"/>
        <w:jc w:val="both"/>
        <w:rPr>
          <w:rFonts w:ascii="Times New Roman" w:eastAsia="Times New Roman" w:hAnsi="Times New Roman" w:cs="Times New Roman"/>
          <w:sz w:val="28"/>
          <w:szCs w:val="28"/>
        </w:rPr>
      </w:pPr>
    </w:p>
    <w:p w14:paraId="64273FEF" w14:textId="77777777" w:rsidR="0025671A" w:rsidRDefault="0025671A">
      <w:pPr>
        <w:spacing w:after="0" w:line="360" w:lineRule="auto"/>
        <w:jc w:val="both"/>
        <w:rPr>
          <w:rFonts w:ascii="Times New Roman" w:eastAsia="Times New Roman" w:hAnsi="Times New Roman" w:cs="Times New Roman"/>
          <w:sz w:val="28"/>
          <w:szCs w:val="28"/>
        </w:rPr>
      </w:pPr>
    </w:p>
    <w:p w14:paraId="50CC9801" w14:textId="77777777" w:rsidR="0025671A" w:rsidRDefault="0025671A">
      <w:pPr>
        <w:spacing w:after="0" w:line="360" w:lineRule="auto"/>
        <w:jc w:val="both"/>
        <w:rPr>
          <w:rFonts w:ascii="Times New Roman" w:eastAsia="Times New Roman" w:hAnsi="Times New Roman" w:cs="Times New Roman"/>
          <w:sz w:val="28"/>
          <w:szCs w:val="28"/>
        </w:rPr>
      </w:pPr>
    </w:p>
    <w:p w14:paraId="53F03295" w14:textId="77777777" w:rsidR="0025671A" w:rsidRDefault="0025671A">
      <w:pPr>
        <w:spacing w:after="0" w:line="360" w:lineRule="auto"/>
        <w:jc w:val="both"/>
        <w:rPr>
          <w:rFonts w:ascii="Times New Roman" w:eastAsia="Times New Roman" w:hAnsi="Times New Roman" w:cs="Times New Roman"/>
          <w:sz w:val="28"/>
          <w:szCs w:val="28"/>
        </w:rPr>
      </w:pPr>
    </w:p>
    <w:p w14:paraId="40D15E43" w14:textId="77777777" w:rsidR="0025671A" w:rsidRDefault="0025671A">
      <w:pPr>
        <w:spacing w:after="0" w:line="360" w:lineRule="auto"/>
        <w:jc w:val="both"/>
        <w:rPr>
          <w:rFonts w:ascii="Times New Roman" w:eastAsia="Times New Roman" w:hAnsi="Times New Roman" w:cs="Times New Roman"/>
          <w:sz w:val="28"/>
          <w:szCs w:val="28"/>
        </w:rPr>
      </w:pPr>
    </w:p>
    <w:p w14:paraId="3B1A0BE7" w14:textId="77777777" w:rsidR="0025671A" w:rsidRDefault="0025671A">
      <w:pPr>
        <w:spacing w:after="0" w:line="360" w:lineRule="auto"/>
        <w:jc w:val="both"/>
        <w:rPr>
          <w:rFonts w:ascii="Times New Roman" w:eastAsia="Times New Roman" w:hAnsi="Times New Roman" w:cs="Times New Roman"/>
          <w:sz w:val="28"/>
          <w:szCs w:val="28"/>
        </w:rPr>
      </w:pPr>
    </w:p>
    <w:p w14:paraId="71477568" w14:textId="77777777" w:rsidR="0025671A" w:rsidRDefault="0025671A">
      <w:pPr>
        <w:spacing w:after="0" w:line="360" w:lineRule="auto"/>
        <w:jc w:val="both"/>
        <w:rPr>
          <w:rFonts w:ascii="Times New Roman" w:eastAsia="Times New Roman" w:hAnsi="Times New Roman" w:cs="Times New Roman"/>
          <w:sz w:val="28"/>
          <w:szCs w:val="28"/>
        </w:rPr>
      </w:pPr>
    </w:p>
    <w:p w14:paraId="5D70047A" w14:textId="77777777" w:rsidR="0025671A" w:rsidRDefault="0025671A">
      <w:pPr>
        <w:spacing w:after="0" w:line="360" w:lineRule="auto"/>
        <w:jc w:val="both"/>
        <w:rPr>
          <w:rFonts w:ascii="Times New Roman" w:eastAsia="Times New Roman" w:hAnsi="Times New Roman" w:cs="Times New Roman"/>
          <w:sz w:val="28"/>
          <w:szCs w:val="28"/>
        </w:rPr>
      </w:pPr>
    </w:p>
    <w:p w14:paraId="2D68932A" w14:textId="77777777" w:rsidR="0025671A" w:rsidRDefault="0025671A">
      <w:pPr>
        <w:spacing w:after="0" w:line="360" w:lineRule="auto"/>
        <w:jc w:val="both"/>
        <w:rPr>
          <w:rFonts w:ascii="Times New Roman" w:eastAsia="Times New Roman" w:hAnsi="Times New Roman" w:cs="Times New Roman"/>
          <w:sz w:val="28"/>
          <w:szCs w:val="28"/>
        </w:rPr>
      </w:pPr>
    </w:p>
    <w:p w14:paraId="1FE279BE" w14:textId="77777777" w:rsidR="0025671A" w:rsidRDefault="0025671A">
      <w:pPr>
        <w:spacing w:after="0" w:line="360" w:lineRule="auto"/>
        <w:jc w:val="both"/>
        <w:rPr>
          <w:rFonts w:ascii="Times New Roman" w:eastAsia="Times New Roman" w:hAnsi="Times New Roman" w:cs="Times New Roman"/>
          <w:sz w:val="28"/>
          <w:szCs w:val="28"/>
        </w:rPr>
      </w:pPr>
    </w:p>
    <w:p w14:paraId="4E652C70" w14:textId="77777777" w:rsidR="0025671A" w:rsidRDefault="0025671A">
      <w:pPr>
        <w:spacing w:after="0" w:line="360" w:lineRule="auto"/>
        <w:jc w:val="both"/>
        <w:rPr>
          <w:rFonts w:ascii="Times New Roman" w:eastAsia="Times New Roman" w:hAnsi="Times New Roman" w:cs="Times New Roman"/>
          <w:sz w:val="28"/>
          <w:szCs w:val="28"/>
        </w:rPr>
      </w:pPr>
    </w:p>
    <w:p w14:paraId="1A66AA4B" w14:textId="77777777" w:rsidR="0025671A" w:rsidRDefault="0025671A">
      <w:pPr>
        <w:spacing w:after="0" w:line="360" w:lineRule="auto"/>
        <w:jc w:val="both"/>
        <w:rPr>
          <w:rFonts w:ascii="Times New Roman" w:eastAsia="Times New Roman" w:hAnsi="Times New Roman" w:cs="Times New Roman"/>
          <w:sz w:val="28"/>
          <w:szCs w:val="28"/>
        </w:rPr>
      </w:pPr>
    </w:p>
    <w:p w14:paraId="6F9FBE68" w14:textId="77777777" w:rsidR="0025671A" w:rsidRDefault="0025671A">
      <w:pPr>
        <w:spacing w:after="0" w:line="360" w:lineRule="auto"/>
        <w:jc w:val="both"/>
        <w:rPr>
          <w:rFonts w:ascii="Times New Roman" w:eastAsia="Times New Roman" w:hAnsi="Times New Roman" w:cs="Times New Roman"/>
          <w:sz w:val="28"/>
          <w:szCs w:val="28"/>
        </w:rPr>
      </w:pPr>
    </w:p>
    <w:p w14:paraId="5E58A0B4" w14:textId="77777777" w:rsidR="0025671A" w:rsidRDefault="0025671A">
      <w:pPr>
        <w:spacing w:after="0" w:line="360" w:lineRule="auto"/>
        <w:jc w:val="both"/>
        <w:rPr>
          <w:rFonts w:ascii="Times New Roman" w:eastAsia="Times New Roman" w:hAnsi="Times New Roman" w:cs="Times New Roman"/>
          <w:sz w:val="28"/>
          <w:szCs w:val="28"/>
        </w:rPr>
      </w:pPr>
    </w:p>
    <w:p w14:paraId="0919FC3A" w14:textId="77777777" w:rsidR="0025671A" w:rsidRDefault="0025671A">
      <w:pPr>
        <w:spacing w:after="0" w:line="360" w:lineRule="auto"/>
        <w:jc w:val="both"/>
        <w:rPr>
          <w:rFonts w:ascii="Times New Roman" w:eastAsia="Times New Roman" w:hAnsi="Times New Roman" w:cs="Times New Roman"/>
          <w:sz w:val="28"/>
          <w:szCs w:val="28"/>
        </w:rPr>
      </w:pPr>
    </w:p>
    <w:p w14:paraId="44EDE096" w14:textId="77777777" w:rsidR="0025671A" w:rsidRDefault="00D74137">
      <w:pPr>
        <w:pStyle w:val="1"/>
        <w:spacing w:before="0" w:line="360" w:lineRule="auto"/>
        <w:jc w:val="center"/>
        <w:rPr>
          <w:rFonts w:ascii="Times New Roman" w:eastAsia="Times New Roman" w:hAnsi="Times New Roman" w:cs="Times New Roman"/>
          <w:b/>
          <w:smallCaps/>
          <w:color w:val="000000"/>
          <w:sz w:val="28"/>
          <w:szCs w:val="28"/>
        </w:rPr>
      </w:pPr>
      <w:bookmarkStart w:id="21" w:name="_1y810tw" w:colFirst="0" w:colLast="0"/>
      <w:bookmarkEnd w:id="21"/>
      <w:r>
        <w:rPr>
          <w:rFonts w:ascii="Times New Roman" w:eastAsia="Times New Roman" w:hAnsi="Times New Roman" w:cs="Times New Roman"/>
          <w:b/>
          <w:smallCaps/>
          <w:color w:val="000000"/>
          <w:sz w:val="28"/>
          <w:szCs w:val="28"/>
        </w:rPr>
        <w:lastRenderedPageBreak/>
        <w:t>СПИСОК ВИКОРИСТАНИХ ДЖЕРЕЛ</w:t>
      </w:r>
    </w:p>
    <w:p w14:paraId="74CDB813" w14:textId="77777777" w:rsidR="0025671A" w:rsidRDefault="0025671A">
      <w:pPr>
        <w:spacing w:after="0" w:line="360" w:lineRule="auto"/>
        <w:ind w:firstLine="709"/>
        <w:jc w:val="both"/>
        <w:rPr>
          <w:rFonts w:ascii="Times New Roman" w:eastAsia="Times New Roman" w:hAnsi="Times New Roman" w:cs="Times New Roman"/>
          <w:sz w:val="28"/>
          <w:szCs w:val="28"/>
        </w:rPr>
      </w:pPr>
    </w:p>
    <w:p w14:paraId="131BAC16"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Аксьонова ОП. Фізкультура для покоління Z: як зробити уроки цікавими URL: </w:t>
      </w:r>
      <w:hyperlink r:id="rId13">
        <w:r>
          <w:rPr>
            <w:rFonts w:ascii="Times New Roman" w:eastAsia="Times New Roman" w:hAnsi="Times New Roman" w:cs="Times New Roman"/>
            <w:color w:val="000000"/>
            <w:sz w:val="28"/>
            <w:szCs w:val="28"/>
            <w:u w:val="single"/>
          </w:rPr>
          <w:t>https://life.pravda.com.ua/health/2020/04/9/240516/</w:t>
        </w:r>
      </w:hyperlink>
      <w:r>
        <w:rPr>
          <w:rFonts w:ascii="Times New Roman" w:eastAsia="Times New Roman" w:hAnsi="Times New Roman" w:cs="Times New Roman"/>
          <w:sz w:val="28"/>
          <w:szCs w:val="28"/>
        </w:rPr>
        <w:t xml:space="preserve"> </w:t>
      </w:r>
    </w:p>
    <w:p w14:paraId="27A59326"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Альошина А., Лисюк А. Методологічні особливості використання вправ </w:t>
      </w:r>
      <w:proofErr w:type="spellStart"/>
      <w:r>
        <w:rPr>
          <w:rFonts w:ascii="Times New Roman" w:eastAsia="Times New Roman" w:hAnsi="Times New Roman" w:cs="Times New Roman"/>
          <w:sz w:val="28"/>
          <w:szCs w:val="28"/>
        </w:rPr>
        <w:t>хатха</w:t>
      </w:r>
      <w:proofErr w:type="spellEnd"/>
      <w:r>
        <w:rPr>
          <w:rFonts w:ascii="Times New Roman" w:eastAsia="Times New Roman" w:hAnsi="Times New Roman" w:cs="Times New Roman"/>
          <w:sz w:val="28"/>
          <w:szCs w:val="28"/>
        </w:rPr>
        <w:t>-йоги для формування постави молодших школярів. Фізична культура, спорт та здоров’я людини: матеріали регіональної науково-практичної студентської конференції (м. Луцьк, 10 грудня 2021 року). Луцьк, 2021. С. 5–6.</w:t>
      </w:r>
    </w:p>
    <w:p w14:paraId="160AD367"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Бутенко Г., Гончарова Н. Вплив занять оздоровчим та спортивним туризмом на фізичну підготовленість молодших школярів. </w:t>
      </w:r>
      <w:r>
        <w:rPr>
          <w:rFonts w:ascii="Times New Roman" w:eastAsia="Times New Roman" w:hAnsi="Times New Roman" w:cs="Times New Roman"/>
          <w:i/>
          <w:sz w:val="28"/>
          <w:szCs w:val="28"/>
        </w:rPr>
        <w:t>Теорія і методика фізичного виховання і спорту</w:t>
      </w:r>
      <w:r>
        <w:rPr>
          <w:rFonts w:ascii="Times New Roman" w:eastAsia="Times New Roman" w:hAnsi="Times New Roman" w:cs="Times New Roman"/>
          <w:sz w:val="28"/>
          <w:szCs w:val="28"/>
        </w:rPr>
        <w:t>. 2018. № 1. С. 36–42.</w:t>
      </w:r>
    </w:p>
    <w:p w14:paraId="385CCB8B"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Бенедь</w:t>
      </w:r>
      <w:proofErr w:type="spellEnd"/>
      <w:r>
        <w:rPr>
          <w:rFonts w:ascii="Times New Roman" w:eastAsia="Times New Roman" w:hAnsi="Times New Roman" w:cs="Times New Roman"/>
          <w:sz w:val="28"/>
          <w:szCs w:val="28"/>
        </w:rPr>
        <w:t xml:space="preserve"> СП. Завдання та організація роботи з фізичного виховання дітей молодшого шкільного віку. </w:t>
      </w:r>
      <w:r>
        <w:rPr>
          <w:rFonts w:ascii="Times New Roman" w:eastAsia="Times New Roman" w:hAnsi="Times New Roman" w:cs="Times New Roman"/>
          <w:i/>
          <w:sz w:val="28"/>
          <w:szCs w:val="28"/>
        </w:rPr>
        <w:t>Фізична культура, спорт та здоров’я нації</w:t>
      </w:r>
      <w:r>
        <w:rPr>
          <w:rFonts w:ascii="Times New Roman" w:eastAsia="Times New Roman" w:hAnsi="Times New Roman" w:cs="Times New Roman"/>
          <w:sz w:val="28"/>
          <w:szCs w:val="28"/>
        </w:rPr>
        <w:t>: матеріали міжнародної науково-практичної конференції. 2018. С. 5–7.</w:t>
      </w:r>
    </w:p>
    <w:p w14:paraId="5AF96504"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Бенедь</w:t>
      </w:r>
      <w:proofErr w:type="spellEnd"/>
      <w:r>
        <w:rPr>
          <w:rFonts w:ascii="Times New Roman" w:eastAsia="Times New Roman" w:hAnsi="Times New Roman" w:cs="Times New Roman"/>
          <w:sz w:val="28"/>
          <w:szCs w:val="28"/>
        </w:rPr>
        <w:t xml:space="preserve"> СП. Рівень фізичної підготовленості учнів молодшого шкільного віку шкіл нового типу. </w:t>
      </w:r>
      <w:r>
        <w:rPr>
          <w:rFonts w:ascii="Times New Roman" w:eastAsia="Times New Roman" w:hAnsi="Times New Roman" w:cs="Times New Roman"/>
          <w:i/>
          <w:sz w:val="28"/>
          <w:szCs w:val="28"/>
        </w:rPr>
        <w:t>Фізична культура, спорт та здоров’я нації</w:t>
      </w:r>
      <w:r>
        <w:rPr>
          <w:rFonts w:ascii="Times New Roman" w:eastAsia="Times New Roman" w:hAnsi="Times New Roman" w:cs="Times New Roman"/>
          <w:sz w:val="28"/>
          <w:szCs w:val="28"/>
        </w:rPr>
        <w:t>: матеріали міжнародної науково-практичної конференції. 2021. С. 339–342.</w:t>
      </w:r>
    </w:p>
    <w:p w14:paraId="2CA53C45"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Власенко Р., </w:t>
      </w:r>
      <w:proofErr w:type="spellStart"/>
      <w:r>
        <w:rPr>
          <w:rFonts w:ascii="Times New Roman" w:eastAsia="Times New Roman" w:hAnsi="Times New Roman" w:cs="Times New Roman"/>
          <w:sz w:val="28"/>
          <w:szCs w:val="28"/>
        </w:rPr>
        <w:t>Бадрак</w:t>
      </w:r>
      <w:proofErr w:type="spellEnd"/>
      <w:r>
        <w:rPr>
          <w:rFonts w:ascii="Times New Roman" w:eastAsia="Times New Roman" w:hAnsi="Times New Roman" w:cs="Times New Roman"/>
          <w:sz w:val="28"/>
          <w:szCs w:val="28"/>
        </w:rPr>
        <w:t xml:space="preserve"> С. Ігрове спрямування фізичної підготовки дітей молодшого шкільного віку. </w:t>
      </w:r>
      <w:proofErr w:type="spellStart"/>
      <w:r>
        <w:rPr>
          <w:rFonts w:ascii="Times New Roman" w:eastAsia="Times New Roman" w:hAnsi="Times New Roman" w:cs="Times New Roman"/>
          <w:i/>
          <w:sz w:val="28"/>
          <w:szCs w:val="28"/>
        </w:rPr>
        <w:t>Efektivni</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nastroje</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modernich</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ved</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Tělovýchova</w:t>
      </w:r>
      <w:proofErr w:type="spellEnd"/>
      <w:r>
        <w:rPr>
          <w:rFonts w:ascii="Times New Roman" w:eastAsia="Times New Roman" w:hAnsi="Times New Roman" w:cs="Times New Roman"/>
          <w:i/>
          <w:sz w:val="28"/>
          <w:szCs w:val="28"/>
        </w:rPr>
        <w:t xml:space="preserve"> a </w:t>
      </w:r>
      <w:proofErr w:type="spellStart"/>
      <w:r>
        <w:rPr>
          <w:rFonts w:ascii="Times New Roman" w:eastAsia="Times New Roman" w:hAnsi="Times New Roman" w:cs="Times New Roman"/>
          <w:i/>
          <w:sz w:val="28"/>
          <w:szCs w:val="28"/>
        </w:rPr>
        <w:t>sport</w:t>
      </w:r>
      <w:proofErr w:type="spellEnd"/>
      <w:r>
        <w:rPr>
          <w:rFonts w:ascii="Times New Roman" w:eastAsia="Times New Roman" w:hAnsi="Times New Roman" w:cs="Times New Roman"/>
          <w:sz w:val="28"/>
          <w:szCs w:val="28"/>
        </w:rPr>
        <w:t>: матеріали ІХ міжнародної науково-практичної конференції. 2018. № 33. С.  47–49.</w:t>
      </w:r>
    </w:p>
    <w:p w14:paraId="5A05F988"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Ващенко Л. Зміст інноваційного педагогічного процесу. </w:t>
      </w:r>
      <w:r>
        <w:rPr>
          <w:rFonts w:ascii="Times New Roman" w:eastAsia="Times New Roman" w:hAnsi="Times New Roman" w:cs="Times New Roman"/>
          <w:i/>
          <w:sz w:val="28"/>
          <w:szCs w:val="28"/>
        </w:rPr>
        <w:t>Управління освітою</w:t>
      </w:r>
      <w:r>
        <w:rPr>
          <w:rFonts w:ascii="Times New Roman" w:eastAsia="Times New Roman" w:hAnsi="Times New Roman" w:cs="Times New Roman"/>
          <w:sz w:val="28"/>
          <w:szCs w:val="28"/>
        </w:rPr>
        <w:t xml:space="preserve">. 2015. № 2. С. 4–6. </w:t>
      </w:r>
    </w:p>
    <w:p w14:paraId="3242C7C6"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Гнітецька</w:t>
      </w:r>
      <w:proofErr w:type="spellEnd"/>
      <w:r>
        <w:rPr>
          <w:rFonts w:ascii="Times New Roman" w:eastAsia="Times New Roman" w:hAnsi="Times New Roman" w:cs="Times New Roman"/>
          <w:sz w:val="28"/>
          <w:szCs w:val="28"/>
        </w:rPr>
        <w:t xml:space="preserve"> Т., </w:t>
      </w:r>
      <w:proofErr w:type="spellStart"/>
      <w:r>
        <w:rPr>
          <w:rFonts w:ascii="Times New Roman" w:eastAsia="Times New Roman" w:hAnsi="Times New Roman" w:cs="Times New Roman"/>
          <w:sz w:val="28"/>
          <w:szCs w:val="28"/>
        </w:rPr>
        <w:t>Чеханюк</w:t>
      </w:r>
      <w:proofErr w:type="spellEnd"/>
      <w:r>
        <w:rPr>
          <w:rFonts w:ascii="Times New Roman" w:eastAsia="Times New Roman" w:hAnsi="Times New Roman" w:cs="Times New Roman"/>
          <w:sz w:val="28"/>
          <w:szCs w:val="28"/>
        </w:rPr>
        <w:t xml:space="preserve"> Л. Сенситивні періоди розвитку силових здібностей дітей шкільного віку. </w:t>
      </w:r>
      <w:r>
        <w:rPr>
          <w:rFonts w:ascii="Times New Roman" w:eastAsia="Times New Roman" w:hAnsi="Times New Roman" w:cs="Times New Roman"/>
          <w:i/>
          <w:sz w:val="28"/>
          <w:szCs w:val="28"/>
        </w:rPr>
        <w:t>Фізична культура, спорт та здоров’я нації</w:t>
      </w:r>
      <w:r>
        <w:rPr>
          <w:rFonts w:ascii="Times New Roman" w:eastAsia="Times New Roman" w:hAnsi="Times New Roman" w:cs="Times New Roman"/>
          <w:sz w:val="28"/>
          <w:szCs w:val="28"/>
        </w:rPr>
        <w:t>: матеріали міжнародної науково-практичної конференції. 2021. С. 350–352.</w:t>
      </w:r>
    </w:p>
    <w:p w14:paraId="46F6C9F3"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Гончарова Н., Бутенко Г. Рухова активність дітей молодшого шкільного віку. 2016. 62 с. </w:t>
      </w:r>
    </w:p>
    <w:p w14:paraId="04AE5303"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Гончарова Н., </w:t>
      </w:r>
      <w:proofErr w:type="spellStart"/>
      <w:r>
        <w:rPr>
          <w:rFonts w:ascii="Times New Roman" w:eastAsia="Times New Roman" w:hAnsi="Times New Roman" w:cs="Times New Roman"/>
          <w:sz w:val="28"/>
          <w:szCs w:val="28"/>
        </w:rPr>
        <w:t>Крайнік</w:t>
      </w:r>
      <w:proofErr w:type="spellEnd"/>
      <w:r>
        <w:rPr>
          <w:rFonts w:ascii="Times New Roman" w:eastAsia="Times New Roman" w:hAnsi="Times New Roman" w:cs="Times New Roman"/>
          <w:sz w:val="28"/>
          <w:szCs w:val="28"/>
        </w:rPr>
        <w:t xml:space="preserve"> Я., </w:t>
      </w:r>
      <w:proofErr w:type="spellStart"/>
      <w:r>
        <w:rPr>
          <w:rFonts w:ascii="Times New Roman" w:eastAsia="Times New Roman" w:hAnsi="Times New Roman" w:cs="Times New Roman"/>
          <w:sz w:val="28"/>
          <w:szCs w:val="28"/>
        </w:rPr>
        <w:t>Гнатиш</w:t>
      </w:r>
      <w:proofErr w:type="spellEnd"/>
      <w:r>
        <w:rPr>
          <w:rFonts w:ascii="Times New Roman" w:eastAsia="Times New Roman" w:hAnsi="Times New Roman" w:cs="Times New Roman"/>
          <w:sz w:val="28"/>
          <w:szCs w:val="28"/>
        </w:rPr>
        <w:t xml:space="preserve"> Д., Дяченко А. Фактори несприятливого перебігу адаптації дітей молодшого шкільного віку до умов навчання у школі. 2017. 56 с. </w:t>
      </w:r>
    </w:p>
    <w:p w14:paraId="2EB34480"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Гончарова Н., </w:t>
      </w:r>
      <w:proofErr w:type="spellStart"/>
      <w:r>
        <w:rPr>
          <w:rFonts w:ascii="Times New Roman" w:eastAsia="Times New Roman" w:hAnsi="Times New Roman" w:cs="Times New Roman"/>
          <w:sz w:val="28"/>
          <w:szCs w:val="28"/>
        </w:rPr>
        <w:t>Крайнік</w:t>
      </w:r>
      <w:proofErr w:type="spellEnd"/>
      <w:r>
        <w:rPr>
          <w:rFonts w:ascii="Times New Roman" w:eastAsia="Times New Roman" w:hAnsi="Times New Roman" w:cs="Times New Roman"/>
          <w:sz w:val="28"/>
          <w:szCs w:val="28"/>
        </w:rPr>
        <w:t xml:space="preserve"> Я., Прокопенко А.,  </w:t>
      </w:r>
      <w:proofErr w:type="spellStart"/>
      <w:r>
        <w:rPr>
          <w:rFonts w:ascii="Times New Roman" w:eastAsia="Times New Roman" w:hAnsi="Times New Roman" w:cs="Times New Roman"/>
          <w:sz w:val="28"/>
          <w:szCs w:val="28"/>
        </w:rPr>
        <w:t>Родіоненко</w:t>
      </w:r>
      <w:proofErr w:type="spellEnd"/>
      <w:r>
        <w:rPr>
          <w:rFonts w:ascii="Times New Roman" w:eastAsia="Times New Roman" w:hAnsi="Times New Roman" w:cs="Times New Roman"/>
          <w:sz w:val="28"/>
          <w:szCs w:val="28"/>
        </w:rPr>
        <w:t xml:space="preserve"> М. Сучасні напрями збереження здоров’я дітей молодшого шкільного віку. 2017. 248 с. </w:t>
      </w:r>
    </w:p>
    <w:p w14:paraId="2E57B4FF"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Гончарова Н. </w:t>
      </w:r>
      <w:proofErr w:type="spellStart"/>
      <w:r>
        <w:rPr>
          <w:rFonts w:ascii="Times New Roman" w:eastAsia="Times New Roman" w:hAnsi="Times New Roman" w:cs="Times New Roman"/>
          <w:sz w:val="28"/>
          <w:szCs w:val="28"/>
        </w:rPr>
        <w:t>Здоров’яформуючі</w:t>
      </w:r>
      <w:proofErr w:type="spellEnd"/>
      <w:r>
        <w:rPr>
          <w:rFonts w:ascii="Times New Roman" w:eastAsia="Times New Roman" w:hAnsi="Times New Roman" w:cs="Times New Roman"/>
          <w:sz w:val="28"/>
          <w:szCs w:val="28"/>
        </w:rPr>
        <w:t xml:space="preserve"> технології у процесі фізичного виховання дітей молодшого шкільного віку. Луцьк, 2018. 336 с.</w:t>
      </w:r>
    </w:p>
    <w:p w14:paraId="75C773F3"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Гончарова Н. Соціально-педагогічні передумови розробки концепції </w:t>
      </w:r>
      <w:proofErr w:type="spellStart"/>
      <w:r>
        <w:rPr>
          <w:rFonts w:ascii="Times New Roman" w:eastAsia="Times New Roman" w:hAnsi="Times New Roman" w:cs="Times New Roman"/>
          <w:sz w:val="28"/>
          <w:szCs w:val="28"/>
        </w:rPr>
        <w:t>здоров’яформуючих</w:t>
      </w:r>
      <w:proofErr w:type="spellEnd"/>
      <w:r>
        <w:rPr>
          <w:rFonts w:ascii="Times New Roman" w:eastAsia="Times New Roman" w:hAnsi="Times New Roman" w:cs="Times New Roman"/>
          <w:sz w:val="28"/>
          <w:szCs w:val="28"/>
        </w:rPr>
        <w:t xml:space="preserve"> технологій у процесі фізичного виховання школярів. </w:t>
      </w:r>
      <w:r>
        <w:rPr>
          <w:rFonts w:ascii="Times New Roman" w:eastAsia="Times New Roman" w:hAnsi="Times New Roman" w:cs="Times New Roman"/>
          <w:i/>
          <w:sz w:val="28"/>
          <w:szCs w:val="28"/>
        </w:rPr>
        <w:t>Теорія і методика фізичного виховання і спорту</w:t>
      </w:r>
      <w:r>
        <w:rPr>
          <w:rFonts w:ascii="Times New Roman" w:eastAsia="Times New Roman" w:hAnsi="Times New Roman" w:cs="Times New Roman"/>
          <w:sz w:val="28"/>
          <w:szCs w:val="28"/>
        </w:rPr>
        <w:t xml:space="preserve">. 2018. № 2. С. 61–66. </w:t>
      </w:r>
    </w:p>
    <w:p w14:paraId="7FB81EE5"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Гребенюк О. Народні ігри та забави у зимовій обрядовості українців. </w:t>
      </w:r>
      <w:r>
        <w:rPr>
          <w:rFonts w:ascii="Times New Roman" w:eastAsia="Times New Roman" w:hAnsi="Times New Roman" w:cs="Times New Roman"/>
          <w:i/>
          <w:sz w:val="28"/>
          <w:szCs w:val="28"/>
        </w:rPr>
        <w:t>Фізична культура, спорт та здоров’я нації</w:t>
      </w:r>
      <w:r>
        <w:rPr>
          <w:rFonts w:ascii="Times New Roman" w:eastAsia="Times New Roman" w:hAnsi="Times New Roman" w:cs="Times New Roman"/>
          <w:sz w:val="28"/>
          <w:szCs w:val="28"/>
        </w:rPr>
        <w:t>: матеріали міжнародної науково-практичної конференції. 2021. С. 11–14.</w:t>
      </w:r>
    </w:p>
    <w:p w14:paraId="55862D81"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Даниленко Л.  Основні проблеми освітньої </w:t>
      </w:r>
      <w:proofErr w:type="spellStart"/>
      <w:r>
        <w:rPr>
          <w:rFonts w:ascii="Times New Roman" w:eastAsia="Times New Roman" w:hAnsi="Times New Roman" w:cs="Times New Roman"/>
          <w:sz w:val="28"/>
          <w:szCs w:val="28"/>
        </w:rPr>
        <w:t>інноватики</w:t>
      </w:r>
      <w:proofErr w:type="spellEnd"/>
      <w:r>
        <w:rPr>
          <w:rFonts w:ascii="Times New Roman" w:eastAsia="Times New Roman" w:hAnsi="Times New Roman" w:cs="Times New Roman"/>
          <w:sz w:val="28"/>
          <w:szCs w:val="28"/>
        </w:rPr>
        <w:t xml:space="preserve"> в сучасній теорії і практиці. </w:t>
      </w:r>
      <w:r>
        <w:rPr>
          <w:rFonts w:ascii="Times New Roman" w:eastAsia="Times New Roman" w:hAnsi="Times New Roman" w:cs="Times New Roman"/>
          <w:i/>
          <w:sz w:val="28"/>
          <w:szCs w:val="28"/>
        </w:rPr>
        <w:t>Педагогічні інновації: ідеї, реалії, перспективи</w:t>
      </w:r>
      <w:r>
        <w:rPr>
          <w:rFonts w:ascii="Times New Roman" w:eastAsia="Times New Roman" w:hAnsi="Times New Roman" w:cs="Times New Roman"/>
          <w:sz w:val="28"/>
          <w:szCs w:val="28"/>
        </w:rPr>
        <w:t xml:space="preserve">. К., 2015. С. 6–12. </w:t>
      </w:r>
    </w:p>
    <w:p w14:paraId="178C8083"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Дичківська</w:t>
      </w:r>
      <w:proofErr w:type="spellEnd"/>
      <w:r>
        <w:rPr>
          <w:rFonts w:ascii="Times New Roman" w:eastAsia="Times New Roman" w:hAnsi="Times New Roman" w:cs="Times New Roman"/>
          <w:sz w:val="28"/>
          <w:szCs w:val="28"/>
        </w:rPr>
        <w:t xml:space="preserve"> І. Інноваційні педагогічні технології: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xml:space="preserve">. К.: </w:t>
      </w:r>
      <w:proofErr w:type="spellStart"/>
      <w:r>
        <w:rPr>
          <w:rFonts w:ascii="Times New Roman" w:eastAsia="Times New Roman" w:hAnsi="Times New Roman" w:cs="Times New Roman"/>
          <w:sz w:val="28"/>
          <w:szCs w:val="28"/>
        </w:rPr>
        <w:t>Академвидав</w:t>
      </w:r>
      <w:proofErr w:type="spellEnd"/>
      <w:r>
        <w:rPr>
          <w:rFonts w:ascii="Times New Roman" w:eastAsia="Times New Roman" w:hAnsi="Times New Roman" w:cs="Times New Roman"/>
          <w:sz w:val="28"/>
          <w:szCs w:val="28"/>
        </w:rPr>
        <w:t>, 2021. 218 с.</w:t>
      </w:r>
    </w:p>
    <w:p w14:paraId="042AE27B"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Gungsuh" w:eastAsia="Gungsuh" w:hAnsi="Gungsuh" w:cs="Gungsuh"/>
          <w:sz w:val="28"/>
          <w:szCs w:val="28"/>
        </w:rPr>
        <w:t>Дубогай</w:t>
      </w:r>
      <w:proofErr w:type="spellEnd"/>
      <w:r>
        <w:rPr>
          <w:rFonts w:ascii="Gungsuh" w:eastAsia="Gungsuh" w:hAnsi="Gungsuh" w:cs="Gungsuh"/>
          <w:sz w:val="28"/>
          <w:szCs w:val="28"/>
        </w:rPr>
        <w:t xml:space="preserve"> О., </w:t>
      </w:r>
      <w:proofErr w:type="spellStart"/>
      <w:r>
        <w:rPr>
          <w:rFonts w:ascii="Gungsuh" w:eastAsia="Gungsuh" w:hAnsi="Gungsuh" w:cs="Gungsuh"/>
          <w:sz w:val="28"/>
          <w:szCs w:val="28"/>
        </w:rPr>
        <w:t>Іваній</w:t>
      </w:r>
      <w:proofErr w:type="spellEnd"/>
      <w:r>
        <w:rPr>
          <w:rFonts w:ascii="Gungsuh" w:eastAsia="Gungsuh" w:hAnsi="Gungsuh" w:cs="Gungsuh"/>
          <w:sz w:val="28"/>
          <w:szCs w:val="28"/>
        </w:rPr>
        <w:t xml:space="preserve"> І. Технологічні особливості відношення молодших школярів до фізичної культури. Луцьк, 2015. С. 218−222.</w:t>
      </w:r>
    </w:p>
    <w:p w14:paraId="7C3F47B2"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Дубогай</w:t>
      </w:r>
      <w:proofErr w:type="spellEnd"/>
      <w:r>
        <w:rPr>
          <w:rFonts w:ascii="Times New Roman" w:eastAsia="Times New Roman" w:hAnsi="Times New Roman" w:cs="Times New Roman"/>
          <w:sz w:val="28"/>
          <w:szCs w:val="28"/>
        </w:rPr>
        <w:t xml:space="preserve"> О. Навчання в русі: здоров’язберігаючі педагогічні технології в початковій школі. К., 2015. 110 с.</w:t>
      </w:r>
    </w:p>
    <w:p w14:paraId="22AE6EA7"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Жилюк</w:t>
      </w:r>
      <w:proofErr w:type="spellEnd"/>
      <w:r>
        <w:rPr>
          <w:rFonts w:ascii="Times New Roman" w:eastAsia="Times New Roman" w:hAnsi="Times New Roman" w:cs="Times New Roman"/>
          <w:sz w:val="28"/>
          <w:szCs w:val="28"/>
        </w:rPr>
        <w:t xml:space="preserve"> В. Використання комплексів українських народних ігор на уроках фізичного виховання з учнями молодших класів. </w:t>
      </w:r>
      <w:r>
        <w:rPr>
          <w:rFonts w:ascii="Times New Roman" w:eastAsia="Times New Roman" w:hAnsi="Times New Roman" w:cs="Times New Roman"/>
          <w:i/>
          <w:sz w:val="28"/>
          <w:szCs w:val="28"/>
        </w:rPr>
        <w:t>Молода спортивна наука України</w:t>
      </w:r>
      <w:r>
        <w:rPr>
          <w:rFonts w:ascii="Times New Roman" w:eastAsia="Times New Roman" w:hAnsi="Times New Roman" w:cs="Times New Roman"/>
          <w:sz w:val="28"/>
          <w:szCs w:val="28"/>
        </w:rPr>
        <w:t>: матеріали Всеукраїнської конференції аспірантів галузі фізичної культури і спорту. 2017. С. 56–57.</w:t>
      </w:r>
    </w:p>
    <w:p w14:paraId="18D7C13B"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Зінкевич-</w:t>
      </w:r>
      <w:proofErr w:type="spellStart"/>
      <w:r>
        <w:rPr>
          <w:rFonts w:ascii="Times New Roman" w:eastAsia="Times New Roman" w:hAnsi="Times New Roman" w:cs="Times New Roman"/>
          <w:sz w:val="28"/>
          <w:szCs w:val="28"/>
        </w:rPr>
        <w:t>Євстігнєєва</w:t>
      </w:r>
      <w:proofErr w:type="spellEnd"/>
      <w:r>
        <w:rPr>
          <w:rFonts w:ascii="Times New Roman" w:eastAsia="Times New Roman" w:hAnsi="Times New Roman" w:cs="Times New Roman"/>
          <w:sz w:val="28"/>
          <w:szCs w:val="28"/>
        </w:rPr>
        <w:t xml:space="preserve"> Т.  Практикум по креативній терапії. К., 2021. 400 с.</w:t>
      </w:r>
    </w:p>
    <w:p w14:paraId="281CAFA1"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Куц</w:t>
      </w:r>
      <w:proofErr w:type="spellEnd"/>
      <w:r>
        <w:rPr>
          <w:rFonts w:ascii="Times New Roman" w:eastAsia="Times New Roman" w:hAnsi="Times New Roman" w:cs="Times New Roman"/>
          <w:sz w:val="28"/>
          <w:szCs w:val="28"/>
        </w:rPr>
        <w:t xml:space="preserve"> О., </w:t>
      </w:r>
      <w:proofErr w:type="spellStart"/>
      <w:r>
        <w:rPr>
          <w:rFonts w:ascii="Times New Roman" w:eastAsia="Times New Roman" w:hAnsi="Times New Roman" w:cs="Times New Roman"/>
          <w:sz w:val="28"/>
          <w:szCs w:val="28"/>
        </w:rPr>
        <w:t>Стефанишин</w:t>
      </w:r>
      <w:proofErr w:type="spellEnd"/>
      <w:r>
        <w:rPr>
          <w:rFonts w:ascii="Times New Roman" w:eastAsia="Times New Roman" w:hAnsi="Times New Roman" w:cs="Times New Roman"/>
          <w:sz w:val="28"/>
          <w:szCs w:val="28"/>
        </w:rPr>
        <w:t xml:space="preserve"> В. Історико-методологічний аналіз впровадження тестового контролю і оцінки фізичного стану населення. </w:t>
      </w:r>
      <w:r>
        <w:rPr>
          <w:rFonts w:ascii="Times New Roman" w:eastAsia="Times New Roman" w:hAnsi="Times New Roman" w:cs="Times New Roman"/>
          <w:i/>
          <w:sz w:val="28"/>
          <w:szCs w:val="28"/>
        </w:rPr>
        <w:t>Фізична культура, спорт та здоров’я нації:</w:t>
      </w:r>
      <w:r>
        <w:rPr>
          <w:rFonts w:ascii="Times New Roman" w:eastAsia="Times New Roman" w:hAnsi="Times New Roman" w:cs="Times New Roman"/>
          <w:sz w:val="28"/>
          <w:szCs w:val="28"/>
        </w:rPr>
        <w:t xml:space="preserve"> матеріали міжнародної науково-практичної конференції. 2021. С. 33–36.</w:t>
      </w:r>
    </w:p>
    <w:p w14:paraId="6F8A79FE"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Іваній</w:t>
      </w:r>
      <w:proofErr w:type="spellEnd"/>
      <w:r>
        <w:rPr>
          <w:rFonts w:ascii="Times New Roman" w:eastAsia="Times New Roman" w:hAnsi="Times New Roman" w:cs="Times New Roman"/>
          <w:sz w:val="28"/>
          <w:szCs w:val="28"/>
        </w:rPr>
        <w:t xml:space="preserve"> І.  Технологія інтеграції фізичного, психічного та духовного розвитку молодшого школяра засобами фізичної культури. </w:t>
      </w:r>
      <w:r>
        <w:rPr>
          <w:rFonts w:ascii="Times New Roman" w:eastAsia="Times New Roman" w:hAnsi="Times New Roman" w:cs="Times New Roman"/>
          <w:i/>
          <w:sz w:val="28"/>
          <w:szCs w:val="28"/>
        </w:rPr>
        <w:t>Педагогіка, психологія та медико-біологічні проблеми фізичного виховання і спорту</w:t>
      </w:r>
      <w:r>
        <w:rPr>
          <w:rFonts w:ascii="Gungsuh" w:eastAsia="Gungsuh" w:hAnsi="Gungsuh" w:cs="Gungsuh"/>
          <w:sz w:val="28"/>
          <w:szCs w:val="28"/>
        </w:rPr>
        <w:t>. 2017. № 2. С. 35−41.</w:t>
      </w:r>
    </w:p>
    <w:p w14:paraId="2E77028E"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Ізак</w:t>
      </w:r>
      <w:proofErr w:type="spellEnd"/>
      <w:r>
        <w:rPr>
          <w:rFonts w:ascii="Times New Roman" w:eastAsia="Times New Roman" w:hAnsi="Times New Roman" w:cs="Times New Roman"/>
          <w:sz w:val="28"/>
          <w:szCs w:val="28"/>
        </w:rPr>
        <w:t xml:space="preserve"> С. Моніторинг фізичного розвитку і фізичної підготовленості (теорія і практика). К., 2015. 196 с.</w:t>
      </w:r>
    </w:p>
    <w:p w14:paraId="26A9D00A"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Ільницька Г.  Фізична культура. 2 клас. ІІ семестр. Харків, 2019. 120 с.</w:t>
      </w:r>
    </w:p>
    <w:p w14:paraId="5B9EC9ED"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Іншин</w:t>
      </w:r>
      <w:proofErr w:type="spellEnd"/>
      <w:r>
        <w:rPr>
          <w:rFonts w:ascii="Times New Roman" w:eastAsia="Times New Roman" w:hAnsi="Times New Roman" w:cs="Times New Roman"/>
          <w:sz w:val="28"/>
          <w:szCs w:val="28"/>
        </w:rPr>
        <w:t xml:space="preserve"> А.  Актуальні проблеми фізичного виховання різних верств населення. Харків, 2020. 102 с.</w:t>
      </w:r>
    </w:p>
    <w:p w14:paraId="75B56F12"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Калиниченко І., Єжова О.  Формування здоров’я школярів в умовах навчально-виховного закладу. </w:t>
      </w:r>
      <w:r>
        <w:rPr>
          <w:rFonts w:ascii="Times New Roman" w:eastAsia="Times New Roman" w:hAnsi="Times New Roman" w:cs="Times New Roman"/>
          <w:i/>
          <w:sz w:val="28"/>
          <w:szCs w:val="28"/>
        </w:rPr>
        <w:t>Довкілля та здоров’я</w:t>
      </w:r>
      <w:r>
        <w:rPr>
          <w:rFonts w:ascii="Times New Roman" w:eastAsia="Times New Roman" w:hAnsi="Times New Roman" w:cs="Times New Roman"/>
          <w:sz w:val="28"/>
          <w:szCs w:val="28"/>
        </w:rPr>
        <w:t>. 2013. № 3 (26). С. 60–64.</w:t>
      </w:r>
    </w:p>
    <w:p w14:paraId="4C730DE8"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Кашуба В., Андрєєва О., Сергієнко К., Гончарова Н.  Проектування системи моніторингу фізичного стану школярів на основі використання інформаційних технологій. </w:t>
      </w:r>
      <w:r>
        <w:rPr>
          <w:rFonts w:ascii="Times New Roman" w:eastAsia="Times New Roman" w:hAnsi="Times New Roman" w:cs="Times New Roman"/>
          <w:i/>
          <w:sz w:val="28"/>
          <w:szCs w:val="28"/>
        </w:rPr>
        <w:t>Теорія та методика фізичного виховання і спорту</w:t>
      </w:r>
      <w:r>
        <w:rPr>
          <w:rFonts w:ascii="Gungsuh" w:eastAsia="Gungsuh" w:hAnsi="Gungsuh" w:cs="Gungsuh"/>
          <w:sz w:val="28"/>
          <w:szCs w:val="28"/>
        </w:rPr>
        <w:t>. 2016. № 3. С. 61−67.</w:t>
      </w:r>
    </w:p>
    <w:p w14:paraId="74E96D99"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Кашуба В., Гончарова Н., Бутенко Г. Досвід використання рекреаційно-оздоровчої технології у фізичному вихованні школярів. </w:t>
      </w:r>
      <w:r>
        <w:rPr>
          <w:rFonts w:ascii="Times New Roman" w:eastAsia="Times New Roman" w:hAnsi="Times New Roman" w:cs="Times New Roman"/>
          <w:i/>
          <w:sz w:val="28"/>
          <w:szCs w:val="28"/>
        </w:rPr>
        <w:t>Молодіжний науковий вісник Східноєвропейського національного університету імені Лесі Українки</w:t>
      </w:r>
      <w:r>
        <w:rPr>
          <w:rFonts w:ascii="Times New Roman" w:eastAsia="Times New Roman" w:hAnsi="Times New Roman" w:cs="Times New Roman"/>
          <w:sz w:val="28"/>
          <w:szCs w:val="28"/>
        </w:rPr>
        <w:t>. 2015. № 20. С. 54–59.</w:t>
      </w:r>
    </w:p>
    <w:p w14:paraId="3A1E6B23"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Кашуба В., </w:t>
      </w:r>
      <w:proofErr w:type="spellStart"/>
      <w:r>
        <w:rPr>
          <w:rFonts w:ascii="Times New Roman" w:eastAsia="Times New Roman" w:hAnsi="Times New Roman" w:cs="Times New Roman"/>
          <w:sz w:val="28"/>
          <w:szCs w:val="28"/>
        </w:rPr>
        <w:t>Бондарь</w:t>
      </w:r>
      <w:proofErr w:type="spellEnd"/>
      <w:r>
        <w:rPr>
          <w:rFonts w:ascii="Times New Roman" w:eastAsia="Times New Roman" w:hAnsi="Times New Roman" w:cs="Times New Roman"/>
          <w:sz w:val="28"/>
          <w:szCs w:val="28"/>
        </w:rPr>
        <w:t xml:space="preserve"> Є., Гончарова Н., Носова Н.  Формування моторики людини в процесі онтогенезу: монографія. Луцьк, 2016. 232 с.</w:t>
      </w:r>
    </w:p>
    <w:p w14:paraId="3C00EE90"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Кашуба В., Андреєва О., Сергієнко К., Гончарова Н. Проектування системи моніторингу фізичного стану школярів на основі використання </w:t>
      </w:r>
      <w:r>
        <w:rPr>
          <w:rFonts w:ascii="Times New Roman" w:eastAsia="Times New Roman" w:hAnsi="Times New Roman" w:cs="Times New Roman"/>
          <w:sz w:val="28"/>
          <w:szCs w:val="28"/>
        </w:rPr>
        <w:lastRenderedPageBreak/>
        <w:t xml:space="preserve">інформаційних технологій. </w:t>
      </w:r>
      <w:r>
        <w:rPr>
          <w:rFonts w:ascii="Times New Roman" w:eastAsia="Times New Roman" w:hAnsi="Times New Roman" w:cs="Times New Roman"/>
          <w:i/>
          <w:sz w:val="28"/>
          <w:szCs w:val="28"/>
        </w:rPr>
        <w:t>Теорія і методика фізичного виховання і спорту</w:t>
      </w:r>
      <w:r>
        <w:rPr>
          <w:rFonts w:ascii="Times New Roman" w:eastAsia="Times New Roman" w:hAnsi="Times New Roman" w:cs="Times New Roman"/>
          <w:sz w:val="28"/>
          <w:szCs w:val="28"/>
        </w:rPr>
        <w:t>. 2016. № 3. С. 30.</w:t>
      </w:r>
    </w:p>
    <w:p w14:paraId="0ACCE3C8"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Когут І. Вплив умов навчання на показники здоров’я шестирічних першокласників. </w:t>
      </w:r>
      <w:r>
        <w:rPr>
          <w:rFonts w:ascii="Times New Roman" w:eastAsia="Times New Roman" w:hAnsi="Times New Roman" w:cs="Times New Roman"/>
          <w:i/>
          <w:sz w:val="28"/>
          <w:szCs w:val="28"/>
        </w:rPr>
        <w:t>Теорія і методика фізичного виховання</w:t>
      </w:r>
      <w:r>
        <w:rPr>
          <w:rFonts w:ascii="Times New Roman" w:eastAsia="Times New Roman" w:hAnsi="Times New Roman" w:cs="Times New Roman"/>
          <w:sz w:val="28"/>
          <w:szCs w:val="28"/>
        </w:rPr>
        <w:t>. 2015. № 1. С. 48–52.</w:t>
      </w:r>
    </w:p>
    <w:p w14:paraId="714B1E7C"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Левків В. Методика застосування засобів Української фізичної культури у фізичному вихованні дітей молодшого шкільного віку. </w:t>
      </w:r>
      <w:r>
        <w:rPr>
          <w:rFonts w:ascii="Times New Roman" w:eastAsia="Times New Roman" w:hAnsi="Times New Roman" w:cs="Times New Roman"/>
          <w:i/>
          <w:sz w:val="28"/>
          <w:szCs w:val="28"/>
        </w:rPr>
        <w:t>Молода спортивна наука України</w:t>
      </w:r>
      <w:r>
        <w:rPr>
          <w:rFonts w:ascii="Times New Roman" w:eastAsia="Times New Roman" w:hAnsi="Times New Roman" w:cs="Times New Roman"/>
          <w:sz w:val="28"/>
          <w:szCs w:val="28"/>
        </w:rPr>
        <w:t>: матеріали Всеукраїнської конференції аспірантів галузі фізичної культури і спорту. Львів, 2017. С. 53–55.</w:t>
      </w:r>
    </w:p>
    <w:p w14:paraId="69DD690A"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Максименко Д. Різнокольорове дитинство: </w:t>
      </w:r>
      <w:proofErr w:type="spellStart"/>
      <w:r>
        <w:rPr>
          <w:rFonts w:ascii="Times New Roman" w:eastAsia="Times New Roman" w:hAnsi="Times New Roman" w:cs="Times New Roman"/>
          <w:sz w:val="28"/>
          <w:szCs w:val="28"/>
        </w:rPr>
        <w:t>ігротерапія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казкотерапія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ізотерапія</w:t>
      </w:r>
      <w:proofErr w:type="spellEnd"/>
      <w:r>
        <w:rPr>
          <w:rFonts w:ascii="Times New Roman" w:eastAsia="Times New Roman" w:hAnsi="Times New Roman" w:cs="Times New Roman"/>
          <w:sz w:val="28"/>
          <w:szCs w:val="28"/>
        </w:rPr>
        <w:t xml:space="preserve">, музикотерапія. </w:t>
      </w:r>
      <w:r>
        <w:rPr>
          <w:rFonts w:ascii="Times New Roman" w:eastAsia="Times New Roman" w:hAnsi="Times New Roman" w:cs="Times New Roman"/>
          <w:i/>
          <w:sz w:val="28"/>
          <w:szCs w:val="28"/>
        </w:rPr>
        <w:t>Практична психологія</w:t>
      </w:r>
      <w:r>
        <w:rPr>
          <w:rFonts w:ascii="Times New Roman" w:eastAsia="Times New Roman" w:hAnsi="Times New Roman" w:cs="Times New Roman"/>
          <w:sz w:val="28"/>
          <w:szCs w:val="28"/>
        </w:rPr>
        <w:t>. К., 2018. 192 с.</w:t>
      </w:r>
    </w:p>
    <w:p w14:paraId="6E139758"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Москаленко А., Дорофєєва Т. Підвищення рівня фізичної підготовленості дітей молодшого шкільного віку шляхом комплексної спортивно-ігрової організації занять з фізичної культури. </w:t>
      </w:r>
      <w:r>
        <w:rPr>
          <w:rFonts w:ascii="Times New Roman" w:eastAsia="Times New Roman" w:hAnsi="Times New Roman" w:cs="Times New Roman"/>
          <w:i/>
          <w:sz w:val="28"/>
          <w:szCs w:val="28"/>
        </w:rPr>
        <w:t>Проблеми і перспективи розвитку спортивних ігор і єдиноборств у вищих навчальних закладах</w:t>
      </w:r>
      <w:r>
        <w:rPr>
          <w:rFonts w:ascii="Times New Roman" w:eastAsia="Times New Roman" w:hAnsi="Times New Roman" w:cs="Times New Roman"/>
          <w:sz w:val="28"/>
          <w:szCs w:val="28"/>
        </w:rPr>
        <w:t>. 2018. Том ІІ. С. 48–54.</w:t>
      </w:r>
    </w:p>
    <w:p w14:paraId="00A20EB2"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Москаленко Н., Власюк О., Степанова І., Шиян О., </w:t>
      </w:r>
      <w:proofErr w:type="spellStart"/>
      <w:r>
        <w:rPr>
          <w:rFonts w:ascii="Times New Roman" w:eastAsia="Times New Roman" w:hAnsi="Times New Roman" w:cs="Times New Roman"/>
          <w:sz w:val="28"/>
          <w:szCs w:val="28"/>
        </w:rPr>
        <w:t>Самошкіна</w:t>
      </w:r>
      <w:proofErr w:type="spellEnd"/>
      <w:r>
        <w:rPr>
          <w:rFonts w:ascii="Times New Roman" w:eastAsia="Times New Roman" w:hAnsi="Times New Roman" w:cs="Times New Roman"/>
          <w:sz w:val="28"/>
          <w:szCs w:val="28"/>
        </w:rPr>
        <w:t xml:space="preserve"> А., Кожедуб Т.  Інноваційні технології у фізичному вихованні школярів. Дніпро, 2019. 332 с.</w:t>
      </w:r>
    </w:p>
    <w:p w14:paraId="641A82BA"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Москаленко Н., Кожедуб Т. Ефективність інноваційної технології теоретичної підготовки у фізичному вихованні учнів середньої школи. </w:t>
      </w:r>
      <w:r>
        <w:rPr>
          <w:rFonts w:ascii="Times New Roman" w:eastAsia="Times New Roman" w:hAnsi="Times New Roman" w:cs="Times New Roman"/>
          <w:i/>
          <w:sz w:val="28"/>
          <w:szCs w:val="28"/>
        </w:rPr>
        <w:t>Спортивний вісник Придніпров’я</w:t>
      </w:r>
      <w:r>
        <w:rPr>
          <w:rFonts w:ascii="Times New Roman" w:eastAsia="Times New Roman" w:hAnsi="Times New Roman" w:cs="Times New Roman"/>
          <w:sz w:val="28"/>
          <w:szCs w:val="28"/>
        </w:rPr>
        <w:t>. 2015. № 1. С. 32–37.</w:t>
      </w:r>
    </w:p>
    <w:p w14:paraId="6815FF06"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Півненко</w:t>
      </w:r>
      <w:proofErr w:type="spellEnd"/>
      <w:r>
        <w:rPr>
          <w:rFonts w:ascii="Times New Roman" w:eastAsia="Times New Roman" w:hAnsi="Times New Roman" w:cs="Times New Roman"/>
          <w:sz w:val="28"/>
          <w:szCs w:val="28"/>
        </w:rPr>
        <w:t xml:space="preserve"> Ю. Психолого-педагогічні умови впровадження здоров’язберігаючих технологій в освітній процес початкової школи. </w:t>
      </w:r>
      <w:r>
        <w:rPr>
          <w:rFonts w:ascii="Times New Roman" w:eastAsia="Times New Roman" w:hAnsi="Times New Roman" w:cs="Times New Roman"/>
          <w:i/>
          <w:sz w:val="28"/>
          <w:szCs w:val="28"/>
        </w:rPr>
        <w:t>Теорія і методика фізичного виховання</w:t>
      </w:r>
      <w:r>
        <w:rPr>
          <w:rFonts w:ascii="Times New Roman" w:eastAsia="Times New Roman" w:hAnsi="Times New Roman" w:cs="Times New Roman"/>
          <w:sz w:val="28"/>
          <w:szCs w:val="28"/>
        </w:rPr>
        <w:t>. 2017. № 5. С. 31–34.</w:t>
      </w:r>
    </w:p>
    <w:p w14:paraId="2EE56C3C"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Савченко В. Нові підходи в системі підвищення кваліфікації вчителів фізичної культури в початковій школі. </w:t>
      </w:r>
      <w:r>
        <w:rPr>
          <w:rFonts w:ascii="Times New Roman" w:eastAsia="Times New Roman" w:hAnsi="Times New Roman" w:cs="Times New Roman"/>
          <w:i/>
          <w:sz w:val="28"/>
          <w:szCs w:val="28"/>
        </w:rPr>
        <w:t>Перший крок у науку</w:t>
      </w:r>
      <w:r>
        <w:rPr>
          <w:rFonts w:ascii="Times New Roman" w:eastAsia="Times New Roman" w:hAnsi="Times New Roman" w:cs="Times New Roman"/>
          <w:sz w:val="28"/>
          <w:szCs w:val="28"/>
        </w:rPr>
        <w:t>: матеріали Всеукраїнської науково-практичної конференції. Луганськ, 2014. Т. 5. С. 109–113.</w:t>
      </w:r>
    </w:p>
    <w:p w14:paraId="32761895"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Саїнчук</w:t>
      </w:r>
      <w:proofErr w:type="spellEnd"/>
      <w:r>
        <w:rPr>
          <w:rFonts w:ascii="Times New Roman" w:eastAsia="Times New Roman" w:hAnsi="Times New Roman" w:cs="Times New Roman"/>
          <w:sz w:val="28"/>
          <w:szCs w:val="28"/>
        </w:rPr>
        <w:t xml:space="preserve"> М. Народна гра як презентант традицій та репрезентант культурного коду. </w:t>
      </w:r>
      <w:r>
        <w:rPr>
          <w:rFonts w:ascii="Times New Roman" w:eastAsia="Times New Roman" w:hAnsi="Times New Roman" w:cs="Times New Roman"/>
          <w:i/>
          <w:sz w:val="28"/>
          <w:szCs w:val="28"/>
        </w:rPr>
        <w:t>Фізичне виховання, спорт і культура здоров’я в сучасному суспільстві</w:t>
      </w:r>
      <w:r>
        <w:rPr>
          <w:rFonts w:ascii="Times New Roman" w:eastAsia="Times New Roman" w:hAnsi="Times New Roman" w:cs="Times New Roman"/>
          <w:sz w:val="28"/>
          <w:szCs w:val="28"/>
        </w:rPr>
        <w:t>. 2016. № 1 (33). С. 12–16.</w:t>
      </w:r>
    </w:p>
    <w:p w14:paraId="7799DD59"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Спіцин</w:t>
      </w:r>
      <w:proofErr w:type="spellEnd"/>
      <w:r>
        <w:rPr>
          <w:rFonts w:ascii="Times New Roman" w:eastAsia="Times New Roman" w:hAnsi="Times New Roman" w:cs="Times New Roman"/>
          <w:sz w:val="28"/>
          <w:szCs w:val="28"/>
        </w:rPr>
        <w:t xml:space="preserve"> В. Оцінка рівня фізичної підготовленості учнів молодших класів загальноосвітньої школи. </w:t>
      </w:r>
      <w:r>
        <w:rPr>
          <w:rFonts w:ascii="Times New Roman" w:eastAsia="Times New Roman" w:hAnsi="Times New Roman" w:cs="Times New Roman"/>
          <w:i/>
          <w:sz w:val="28"/>
          <w:szCs w:val="28"/>
        </w:rPr>
        <w:t>Теорія та методика фізичного виховання</w:t>
      </w:r>
      <w:r>
        <w:rPr>
          <w:rFonts w:ascii="Times New Roman" w:eastAsia="Times New Roman" w:hAnsi="Times New Roman" w:cs="Times New Roman"/>
          <w:sz w:val="28"/>
          <w:szCs w:val="28"/>
        </w:rPr>
        <w:t xml:space="preserve">. 2014. № 4. С. 38–44. </w:t>
      </w:r>
    </w:p>
    <w:p w14:paraId="64CD9BA3"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Ружило</w:t>
      </w:r>
      <w:proofErr w:type="spellEnd"/>
      <w:r>
        <w:rPr>
          <w:rFonts w:ascii="Times New Roman" w:eastAsia="Times New Roman" w:hAnsi="Times New Roman" w:cs="Times New Roman"/>
          <w:sz w:val="28"/>
          <w:szCs w:val="28"/>
        </w:rPr>
        <w:t xml:space="preserve"> О. Дослідження впливу національних рухливих ігор на показники фізичної підготовленості школярів. </w:t>
      </w:r>
      <w:r>
        <w:rPr>
          <w:rFonts w:ascii="Times New Roman" w:eastAsia="Times New Roman" w:hAnsi="Times New Roman" w:cs="Times New Roman"/>
          <w:i/>
          <w:sz w:val="28"/>
          <w:szCs w:val="28"/>
        </w:rPr>
        <w:t>Фізична культура, спорт та здоров’я нації</w:t>
      </w:r>
      <w:r>
        <w:rPr>
          <w:rFonts w:ascii="Times New Roman" w:eastAsia="Times New Roman" w:hAnsi="Times New Roman" w:cs="Times New Roman"/>
          <w:sz w:val="28"/>
          <w:szCs w:val="28"/>
        </w:rPr>
        <w:t>: матеріали міжнародної науково-практичної конференції. 2018. С. 88–89.</w:t>
      </w:r>
    </w:p>
    <w:p w14:paraId="3ED8A33E"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Теорія та методика фізичного виховання. За ред. Т. Ю. </w:t>
      </w:r>
      <w:proofErr w:type="spellStart"/>
      <w:r>
        <w:rPr>
          <w:rFonts w:ascii="Times New Roman" w:eastAsia="Times New Roman" w:hAnsi="Times New Roman" w:cs="Times New Roman"/>
          <w:sz w:val="28"/>
          <w:szCs w:val="28"/>
        </w:rPr>
        <w:t>Круцевич</w:t>
      </w:r>
      <w:proofErr w:type="spellEnd"/>
      <w:r>
        <w:rPr>
          <w:rFonts w:ascii="Times New Roman" w:eastAsia="Times New Roman" w:hAnsi="Times New Roman" w:cs="Times New Roman"/>
          <w:sz w:val="28"/>
          <w:szCs w:val="28"/>
        </w:rPr>
        <w:t xml:space="preserve">. К., 2017. Т. 1. 373 с. </w:t>
      </w:r>
    </w:p>
    <w:p w14:paraId="17FB5200"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Федій</w:t>
      </w:r>
      <w:proofErr w:type="spellEnd"/>
      <w:r>
        <w:rPr>
          <w:rFonts w:ascii="Times New Roman" w:eastAsia="Times New Roman" w:hAnsi="Times New Roman" w:cs="Times New Roman"/>
          <w:sz w:val="28"/>
          <w:szCs w:val="28"/>
        </w:rPr>
        <w:t xml:space="preserve"> О.  Естетотерапія.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посібник. 2-ге вид. перероб. та </w:t>
      </w:r>
      <w:proofErr w:type="spellStart"/>
      <w:r>
        <w:rPr>
          <w:rFonts w:ascii="Times New Roman" w:eastAsia="Times New Roman" w:hAnsi="Times New Roman" w:cs="Times New Roman"/>
          <w:sz w:val="28"/>
          <w:szCs w:val="28"/>
        </w:rPr>
        <w:t>доп</w:t>
      </w:r>
      <w:proofErr w:type="spellEnd"/>
      <w:r>
        <w:rPr>
          <w:rFonts w:ascii="Times New Roman" w:eastAsia="Times New Roman" w:hAnsi="Times New Roman" w:cs="Times New Roman"/>
          <w:sz w:val="28"/>
          <w:szCs w:val="28"/>
        </w:rPr>
        <w:t>. К., 2018. 304 с.</w:t>
      </w:r>
    </w:p>
    <w:p w14:paraId="1F8580A0"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Химич</w:t>
      </w:r>
      <w:proofErr w:type="spellEnd"/>
      <w:r>
        <w:rPr>
          <w:rFonts w:ascii="Times New Roman" w:eastAsia="Times New Roman" w:hAnsi="Times New Roman" w:cs="Times New Roman"/>
          <w:sz w:val="28"/>
          <w:szCs w:val="28"/>
        </w:rPr>
        <w:t xml:space="preserve"> Н., </w:t>
      </w:r>
      <w:proofErr w:type="spellStart"/>
      <w:r>
        <w:rPr>
          <w:rFonts w:ascii="Times New Roman" w:eastAsia="Times New Roman" w:hAnsi="Times New Roman" w:cs="Times New Roman"/>
          <w:sz w:val="28"/>
          <w:szCs w:val="28"/>
        </w:rPr>
        <w:t>Губаренко</w:t>
      </w:r>
      <w:proofErr w:type="spellEnd"/>
      <w:r>
        <w:rPr>
          <w:rFonts w:ascii="Times New Roman" w:eastAsia="Times New Roman" w:hAnsi="Times New Roman" w:cs="Times New Roman"/>
          <w:sz w:val="28"/>
          <w:szCs w:val="28"/>
        </w:rPr>
        <w:t xml:space="preserve"> О.  Українські рухливі музичні ігри для дітей старшого дошкільного та молодшого шкільного віку: методичний посібник. Переяслав-Хмельницький, 2016. 62 с.</w:t>
      </w:r>
    </w:p>
    <w:p w14:paraId="5FA43D8F"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Цьось</w:t>
      </w:r>
      <w:proofErr w:type="spellEnd"/>
      <w:r>
        <w:rPr>
          <w:rFonts w:ascii="Times New Roman" w:eastAsia="Times New Roman" w:hAnsi="Times New Roman" w:cs="Times New Roman"/>
          <w:sz w:val="28"/>
          <w:szCs w:val="28"/>
        </w:rPr>
        <w:t xml:space="preserve"> А.  Фізичне виховання в календарній обрядовості українців. Луцьк, 2020. 374 с.</w:t>
      </w:r>
    </w:p>
    <w:p w14:paraId="3ADA8312"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Чиженюк</w:t>
      </w:r>
      <w:proofErr w:type="spellEnd"/>
      <w:r>
        <w:rPr>
          <w:rFonts w:ascii="Times New Roman" w:eastAsia="Times New Roman" w:hAnsi="Times New Roman" w:cs="Times New Roman"/>
          <w:sz w:val="28"/>
          <w:szCs w:val="28"/>
        </w:rPr>
        <w:t xml:space="preserve"> Т., Григоренко Г., </w:t>
      </w:r>
      <w:proofErr w:type="spellStart"/>
      <w:r>
        <w:rPr>
          <w:rFonts w:ascii="Times New Roman" w:eastAsia="Times New Roman" w:hAnsi="Times New Roman" w:cs="Times New Roman"/>
          <w:sz w:val="28"/>
          <w:szCs w:val="28"/>
        </w:rPr>
        <w:t>Скірко</w:t>
      </w:r>
      <w:proofErr w:type="spellEnd"/>
      <w:r>
        <w:rPr>
          <w:rFonts w:ascii="Times New Roman" w:eastAsia="Times New Roman" w:hAnsi="Times New Roman" w:cs="Times New Roman"/>
          <w:sz w:val="28"/>
          <w:szCs w:val="28"/>
        </w:rPr>
        <w:t xml:space="preserve"> А. З. Зміни показників зовнішнього дихання у дітей у залежності від організації фізичного виховання. </w:t>
      </w:r>
      <w:r>
        <w:rPr>
          <w:rFonts w:ascii="Times New Roman" w:eastAsia="Times New Roman" w:hAnsi="Times New Roman" w:cs="Times New Roman"/>
          <w:i/>
          <w:sz w:val="28"/>
          <w:szCs w:val="28"/>
        </w:rPr>
        <w:t>Фізична культура, спорт та здоров’я нації</w:t>
      </w:r>
      <w:r>
        <w:rPr>
          <w:rFonts w:ascii="Times New Roman" w:eastAsia="Times New Roman" w:hAnsi="Times New Roman" w:cs="Times New Roman"/>
          <w:sz w:val="28"/>
          <w:szCs w:val="28"/>
        </w:rPr>
        <w:t>: матеріали міжнародної науково-практичної конференції. 2016. Ч. 2. С. 153–154.</w:t>
      </w:r>
    </w:p>
    <w:p w14:paraId="6BE3277F"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Яковлева О.  Оновлення виховного процесу в оздоровчих таборах в сучасних умовах.</w:t>
      </w:r>
      <w:r>
        <w:rPr>
          <w:rFonts w:ascii="Times New Roman" w:eastAsia="Times New Roman" w:hAnsi="Times New Roman" w:cs="Times New Roman"/>
          <w:i/>
          <w:sz w:val="28"/>
          <w:szCs w:val="28"/>
        </w:rPr>
        <w:t xml:space="preserve"> Фізична культура, спорт та здоров’я нації</w:t>
      </w:r>
      <w:r>
        <w:rPr>
          <w:rFonts w:ascii="Times New Roman" w:eastAsia="Times New Roman" w:hAnsi="Times New Roman" w:cs="Times New Roman"/>
          <w:sz w:val="28"/>
          <w:szCs w:val="28"/>
        </w:rPr>
        <w:t>: матеріали міжнародної науково-практичної конференції 2021. С. 434–436.</w:t>
      </w:r>
    </w:p>
    <w:p w14:paraId="046F2ACD"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Сальникова Є.  Відношення батьків до фізичного виховання дітей-дошкільнят. </w:t>
      </w:r>
      <w:r>
        <w:rPr>
          <w:rFonts w:ascii="Times New Roman" w:eastAsia="Times New Roman" w:hAnsi="Times New Roman" w:cs="Times New Roman"/>
          <w:i/>
          <w:sz w:val="28"/>
          <w:szCs w:val="28"/>
        </w:rPr>
        <w:t>Актуальні питання фізичної культури та спорту</w:t>
      </w:r>
      <w:r>
        <w:rPr>
          <w:rFonts w:ascii="Times New Roman" w:eastAsia="Times New Roman" w:hAnsi="Times New Roman" w:cs="Times New Roman"/>
          <w:sz w:val="28"/>
          <w:szCs w:val="28"/>
        </w:rPr>
        <w:t>. 2021. С. 89–92.</w:t>
      </w:r>
    </w:p>
    <w:p w14:paraId="37C9B119"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Visek</w:t>
      </w:r>
      <w:proofErr w:type="spellEnd"/>
      <w:r>
        <w:rPr>
          <w:rFonts w:ascii="Times New Roman" w:eastAsia="Times New Roman" w:hAnsi="Times New Roman" w:cs="Times New Roman"/>
          <w:sz w:val="28"/>
          <w:szCs w:val="28"/>
        </w:rPr>
        <w:t xml:space="preserve"> A. J., </w:t>
      </w:r>
      <w:proofErr w:type="spellStart"/>
      <w:r>
        <w:rPr>
          <w:rFonts w:ascii="Times New Roman" w:eastAsia="Times New Roman" w:hAnsi="Times New Roman" w:cs="Times New Roman"/>
          <w:sz w:val="28"/>
          <w:szCs w:val="28"/>
        </w:rPr>
        <w:t>Achrati</w:t>
      </w:r>
      <w:proofErr w:type="spellEnd"/>
      <w:r>
        <w:rPr>
          <w:rFonts w:ascii="Times New Roman" w:eastAsia="Times New Roman" w:hAnsi="Times New Roman" w:cs="Times New Roman"/>
          <w:sz w:val="28"/>
          <w:szCs w:val="28"/>
        </w:rPr>
        <w:t xml:space="preserve"> S. M., </w:t>
      </w:r>
      <w:proofErr w:type="spellStart"/>
      <w:r>
        <w:rPr>
          <w:rFonts w:ascii="Times New Roman" w:eastAsia="Times New Roman" w:hAnsi="Times New Roman" w:cs="Times New Roman"/>
          <w:sz w:val="28"/>
          <w:szCs w:val="28"/>
        </w:rPr>
        <w:t>Mannix</w:t>
      </w:r>
      <w:proofErr w:type="spellEnd"/>
      <w:r>
        <w:rPr>
          <w:rFonts w:ascii="Times New Roman" w:eastAsia="Times New Roman" w:hAnsi="Times New Roman" w:cs="Times New Roman"/>
          <w:sz w:val="28"/>
          <w:szCs w:val="28"/>
        </w:rPr>
        <w:t xml:space="preserve"> H. M., </w:t>
      </w:r>
      <w:proofErr w:type="spellStart"/>
      <w:r>
        <w:rPr>
          <w:rFonts w:ascii="Times New Roman" w:eastAsia="Times New Roman" w:hAnsi="Times New Roman" w:cs="Times New Roman"/>
          <w:sz w:val="28"/>
          <w:szCs w:val="28"/>
        </w:rPr>
        <w:t>Harris</w:t>
      </w:r>
      <w:proofErr w:type="spellEnd"/>
      <w:r>
        <w:rPr>
          <w:rFonts w:ascii="Times New Roman" w:eastAsia="Times New Roman" w:hAnsi="Times New Roman" w:cs="Times New Roman"/>
          <w:sz w:val="28"/>
          <w:szCs w:val="28"/>
        </w:rPr>
        <w:t xml:space="preserve"> B. S., </w:t>
      </w:r>
      <w:proofErr w:type="spellStart"/>
      <w:r>
        <w:rPr>
          <w:rFonts w:ascii="Times New Roman" w:eastAsia="Times New Roman" w:hAnsi="Times New Roman" w:cs="Times New Roman"/>
          <w:sz w:val="28"/>
          <w:szCs w:val="28"/>
        </w:rPr>
        <w:t>McDonnell</w:t>
      </w:r>
      <w:proofErr w:type="spellEnd"/>
      <w:r>
        <w:rPr>
          <w:rFonts w:ascii="Times New Roman" w:eastAsia="Times New Roman" w:hAnsi="Times New Roman" w:cs="Times New Roman"/>
          <w:sz w:val="28"/>
          <w:szCs w:val="28"/>
        </w:rPr>
        <w:t xml:space="preserve"> K.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Integration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Toward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Sustaining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Adolescents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Participation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Journal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of</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Physical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Activity</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and</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Health</w:t>
      </w:r>
      <w:proofErr w:type="spellEnd"/>
      <w:r>
        <w:rPr>
          <w:rFonts w:ascii="Times New Roman" w:eastAsia="Times New Roman" w:hAnsi="Times New Roman" w:cs="Times New Roman"/>
          <w:sz w:val="28"/>
          <w:szCs w:val="28"/>
        </w:rPr>
        <w:t>. DOI: https://doi.org/10.1123/jpah.2013-0180.</w:t>
      </w:r>
    </w:p>
    <w:p w14:paraId="4F9BCF84"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American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Academy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Pediatrics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Sports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Medicine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Fitness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Injury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society</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subject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roared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Pediatrics</w:t>
      </w:r>
      <w:proofErr w:type="spellEnd"/>
      <w:r>
        <w:rPr>
          <w:rFonts w:ascii="Times New Roman" w:eastAsia="Times New Roman" w:hAnsi="Times New Roman" w:cs="Times New Roman"/>
          <w:sz w:val="28"/>
          <w:szCs w:val="28"/>
        </w:rPr>
        <w:t>. 2020. № 105. С. 659–661.</w:t>
      </w:r>
    </w:p>
    <w:p w14:paraId="2774E714"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Byshevets</w:t>
      </w:r>
      <w:proofErr w:type="spellEnd"/>
      <w:r>
        <w:rPr>
          <w:rFonts w:ascii="Times New Roman" w:eastAsia="Times New Roman" w:hAnsi="Times New Roman" w:cs="Times New Roman"/>
          <w:sz w:val="28"/>
          <w:szCs w:val="28"/>
        </w:rPr>
        <w:t xml:space="preserve"> N. Express </w:t>
      </w:r>
      <w:proofErr w:type="spellStart"/>
      <w:r>
        <w:rPr>
          <w:rFonts w:ascii="Times New Roman" w:eastAsia="Times New Roman" w:hAnsi="Times New Roman" w:cs="Times New Roman"/>
          <w:sz w:val="28"/>
          <w:szCs w:val="28"/>
        </w:rPr>
        <w:t>estimation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Journal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of</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Education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Health</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and</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Sport</w:t>
      </w:r>
      <w:proofErr w:type="spellEnd"/>
      <w:r>
        <w:rPr>
          <w:rFonts w:ascii="Times New Roman" w:eastAsia="Times New Roman" w:hAnsi="Times New Roman" w:cs="Times New Roman"/>
          <w:sz w:val="28"/>
          <w:szCs w:val="28"/>
        </w:rPr>
        <w:t>. 2017. № 7(8). Р. 1628–1641.</w:t>
      </w:r>
    </w:p>
    <w:p w14:paraId="4AD1A1DD"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Greydanus</w:t>
      </w:r>
      <w:proofErr w:type="spellEnd"/>
      <w:r>
        <w:rPr>
          <w:rFonts w:ascii="Times New Roman" w:eastAsia="Times New Roman" w:hAnsi="Times New Roman" w:cs="Times New Roman"/>
          <w:sz w:val="28"/>
          <w:szCs w:val="28"/>
        </w:rPr>
        <w:t xml:space="preserve"> D. E., </w:t>
      </w:r>
      <w:proofErr w:type="spellStart"/>
      <w:r>
        <w:rPr>
          <w:rFonts w:ascii="Times New Roman" w:eastAsia="Times New Roman" w:hAnsi="Times New Roman" w:cs="Times New Roman"/>
          <w:sz w:val="28"/>
          <w:szCs w:val="28"/>
        </w:rPr>
        <w:t>Pratt</w:t>
      </w:r>
      <w:proofErr w:type="spellEnd"/>
      <w:r>
        <w:rPr>
          <w:rFonts w:ascii="Times New Roman" w:eastAsia="Times New Roman" w:hAnsi="Times New Roman" w:cs="Times New Roman"/>
          <w:sz w:val="28"/>
          <w:szCs w:val="28"/>
        </w:rPr>
        <w:t xml:space="preserve"> H. D. </w:t>
      </w:r>
      <w:proofErr w:type="spellStart"/>
      <w:r>
        <w:rPr>
          <w:rFonts w:ascii="Times New Roman" w:eastAsia="Times New Roman" w:hAnsi="Times New Roman" w:cs="Times New Roman"/>
          <w:sz w:val="28"/>
          <w:szCs w:val="28"/>
        </w:rPr>
        <w:t>Psychosocial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considerations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adolescent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athlete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lessons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U.S. </w:t>
      </w:r>
      <w:proofErr w:type="spellStart"/>
      <w:r>
        <w:rPr>
          <w:rFonts w:ascii="Times New Roman" w:eastAsia="Times New Roman" w:hAnsi="Times New Roman" w:cs="Times New Roman"/>
          <w:i/>
          <w:sz w:val="28"/>
          <w:szCs w:val="28"/>
        </w:rPr>
        <w:t>Asian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Journal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of</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Pediatric</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Practice</w:t>
      </w:r>
      <w:proofErr w:type="spellEnd"/>
      <w:r>
        <w:rPr>
          <w:rFonts w:ascii="Times New Roman" w:eastAsia="Times New Roman" w:hAnsi="Times New Roman" w:cs="Times New Roman"/>
          <w:sz w:val="28"/>
          <w:szCs w:val="28"/>
        </w:rPr>
        <w:t>. 2020. № 3. С. 19–29.</w:t>
      </w:r>
    </w:p>
    <w:p w14:paraId="673B6C95" w14:textId="77777777" w:rsidR="0025671A" w:rsidRDefault="00D74137">
      <w:pPr>
        <w:numPr>
          <w:ilvl w:val="0"/>
          <w:numId w:val="1"/>
        </w:numPr>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Dikhon</w:t>
      </w:r>
      <w:proofErr w:type="spellEnd"/>
      <w:r>
        <w:rPr>
          <w:rFonts w:ascii="Times New Roman" w:eastAsia="Times New Roman" w:hAnsi="Times New Roman" w:cs="Times New Roman"/>
          <w:sz w:val="28"/>
          <w:szCs w:val="28"/>
        </w:rPr>
        <w:t xml:space="preserve"> S. D., </w:t>
      </w:r>
      <w:proofErr w:type="spellStart"/>
      <w:r>
        <w:rPr>
          <w:rFonts w:ascii="Times New Roman" w:eastAsia="Times New Roman" w:hAnsi="Times New Roman" w:cs="Times New Roman"/>
          <w:sz w:val="28"/>
          <w:szCs w:val="28"/>
        </w:rPr>
        <w:t>Stan</w:t>
      </w:r>
      <w:proofErr w:type="spellEnd"/>
      <w:r>
        <w:rPr>
          <w:rFonts w:ascii="Times New Roman" w:eastAsia="Times New Roman" w:hAnsi="Times New Roman" w:cs="Times New Roman"/>
          <w:sz w:val="28"/>
          <w:szCs w:val="28"/>
        </w:rPr>
        <w:t xml:space="preserve"> M. T. </w:t>
      </w:r>
      <w:proofErr w:type="spellStart"/>
      <w:r>
        <w:rPr>
          <w:rFonts w:ascii="Times New Roman" w:eastAsia="Times New Roman" w:hAnsi="Times New Roman" w:cs="Times New Roman"/>
          <w:sz w:val="28"/>
          <w:szCs w:val="28"/>
        </w:rPr>
        <w:t>Encounters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pediatrician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behavior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3rd </w:t>
      </w:r>
      <w:proofErr w:type="spellStart"/>
      <w:r>
        <w:rPr>
          <w:rFonts w:ascii="Times New Roman" w:eastAsia="Times New Roman" w:hAnsi="Times New Roman" w:cs="Times New Roman"/>
          <w:sz w:val="28"/>
          <w:szCs w:val="28"/>
        </w:rPr>
        <w:t>edition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Philadelphia</w:t>
      </w:r>
      <w:proofErr w:type="spellEnd"/>
      <w:r>
        <w:rPr>
          <w:rFonts w:ascii="Times New Roman" w:eastAsia="Times New Roman" w:hAnsi="Times New Roman" w:cs="Times New Roman"/>
          <w:sz w:val="28"/>
          <w:szCs w:val="28"/>
        </w:rPr>
        <w:t>, 2020. 354 р.</w:t>
      </w:r>
    </w:p>
    <w:sectPr w:rsidR="0025671A">
      <w:headerReference w:type="default" r:id="rId14"/>
      <w:pgSz w:w="11906" w:h="16838"/>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95C7A1" w14:textId="77777777" w:rsidR="006D14C0" w:rsidRDefault="006D14C0">
      <w:pPr>
        <w:spacing w:after="0" w:line="240" w:lineRule="auto"/>
      </w:pPr>
      <w:r>
        <w:separator/>
      </w:r>
    </w:p>
  </w:endnote>
  <w:endnote w:type="continuationSeparator" w:id="0">
    <w:p w14:paraId="7FC9466F" w14:textId="77777777" w:rsidR="006D14C0" w:rsidRDefault="006D14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ahnschrift Light Condensed">
    <w:panose1 w:val="020B0502040204020203"/>
    <w:charset w:val="CC"/>
    <w:family w:val="swiss"/>
    <w:pitch w:val="variable"/>
    <w:sig w:usb0="A00002C7" w:usb1="00000002" w:usb2="00000000" w:usb3="00000000" w:csb0="0000019F" w:csb1="00000000"/>
  </w:font>
  <w:font w:name="Gungsuh">
    <w:altName w:val="Arial Unicode MS"/>
    <w:charset w:val="81"/>
    <w:family w:val="roman"/>
    <w:pitch w:val="variable"/>
    <w:sig w:usb0="00000000"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BD8C3D" w14:textId="77777777" w:rsidR="006D14C0" w:rsidRDefault="006D14C0">
      <w:pPr>
        <w:spacing w:after="0" w:line="240" w:lineRule="auto"/>
      </w:pPr>
      <w:r>
        <w:separator/>
      </w:r>
    </w:p>
  </w:footnote>
  <w:footnote w:type="continuationSeparator" w:id="0">
    <w:p w14:paraId="025FD2FE" w14:textId="77777777" w:rsidR="006D14C0" w:rsidRDefault="006D14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5ECE2F" w14:textId="77777777" w:rsidR="0039605B" w:rsidRDefault="0039605B">
    <w:pPr>
      <w:pBdr>
        <w:top w:val="nil"/>
        <w:left w:val="nil"/>
        <w:bottom w:val="nil"/>
        <w:right w:val="nil"/>
        <w:between w:val="nil"/>
      </w:pBdr>
      <w:tabs>
        <w:tab w:val="center" w:pos="4819"/>
        <w:tab w:val="right" w:pos="9639"/>
      </w:tabs>
      <w:spacing w:after="0" w:line="24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PAGE</w:instrText>
    </w:r>
    <w:r>
      <w:rPr>
        <w:rFonts w:ascii="Times New Roman" w:eastAsia="Times New Roman" w:hAnsi="Times New Roman" w:cs="Times New Roman"/>
        <w:color w:val="000000"/>
        <w:sz w:val="28"/>
        <w:szCs w:val="28"/>
      </w:rPr>
      <w:fldChar w:fldCharType="separate"/>
    </w:r>
    <w:r w:rsidR="00C92587">
      <w:rPr>
        <w:rFonts w:ascii="Times New Roman" w:eastAsia="Times New Roman" w:hAnsi="Times New Roman" w:cs="Times New Roman"/>
        <w:noProof/>
        <w:color w:val="000000"/>
        <w:sz w:val="28"/>
        <w:szCs w:val="28"/>
      </w:rPr>
      <w:t>6</w:t>
    </w:r>
    <w:r>
      <w:rPr>
        <w:rFonts w:ascii="Times New Roman" w:eastAsia="Times New Roman" w:hAnsi="Times New Roman" w:cs="Times New Roman"/>
        <w:color w:val="000000"/>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35167B"/>
    <w:multiLevelType w:val="multilevel"/>
    <w:tmpl w:val="2B70F342"/>
    <w:lvl w:ilvl="0">
      <w:start w:val="1"/>
      <w:numFmt w:val="decimal"/>
      <w:lvlText w:val="%1."/>
      <w:lvlJc w:val="left"/>
      <w:pPr>
        <w:ind w:left="928"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25671A"/>
    <w:rsid w:val="0025671A"/>
    <w:rsid w:val="0039605B"/>
    <w:rsid w:val="0068322F"/>
    <w:rsid w:val="006D14C0"/>
    <w:rsid w:val="007E5E0C"/>
    <w:rsid w:val="008B4D2B"/>
    <w:rsid w:val="00BF486C"/>
    <w:rsid w:val="00C92587"/>
    <w:rsid w:val="00D74137"/>
    <w:rsid w:val="00FC70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08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240" w:after="0"/>
      <w:outlineLvl w:val="0"/>
    </w:pPr>
    <w:rPr>
      <w:color w:val="2F5496"/>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pPr>
      <w:widowControl w:val="0"/>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15" w:type="dxa"/>
        <w:right w:w="115" w:type="dxa"/>
      </w:tblCellMar>
    </w:tblPr>
  </w:style>
  <w:style w:type="paragraph" w:styleId="a8">
    <w:name w:val="Balloon Text"/>
    <w:basedOn w:val="a"/>
    <w:link w:val="a9"/>
    <w:uiPriority w:val="99"/>
    <w:semiHidden/>
    <w:unhideWhenUsed/>
    <w:rsid w:val="00FC707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FC707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240" w:after="0"/>
      <w:outlineLvl w:val="0"/>
    </w:pPr>
    <w:rPr>
      <w:color w:val="2F5496"/>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pPr>
      <w:widowControl w:val="0"/>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15" w:type="dxa"/>
        <w:right w:w="115" w:type="dxa"/>
      </w:tblCellMar>
    </w:tblPr>
  </w:style>
  <w:style w:type="paragraph" w:styleId="a8">
    <w:name w:val="Balloon Text"/>
    <w:basedOn w:val="a"/>
    <w:link w:val="a9"/>
    <w:uiPriority w:val="99"/>
    <w:semiHidden/>
    <w:unhideWhenUsed/>
    <w:rsid w:val="00FC707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FC707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ife.pravda.com.ua/health/2020/04/9/240516/"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68</Pages>
  <Words>73389</Words>
  <Characters>41832</Characters>
  <Application>Microsoft Office Word</Application>
  <DocSecurity>0</DocSecurity>
  <Lines>348</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Тарас</dc:creator>
  <cp:lastModifiedBy>Admin</cp:lastModifiedBy>
  <cp:revision>5</cp:revision>
  <dcterms:created xsi:type="dcterms:W3CDTF">2024-12-19T15:00:00Z</dcterms:created>
  <dcterms:modified xsi:type="dcterms:W3CDTF">2024-12-23T19:43:00Z</dcterms:modified>
</cp:coreProperties>
</file>