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DA2" w:rsidRDefault="000B2DA2">
      <w:pPr>
        <w:widowControl w:val="0"/>
        <w:pBdr>
          <w:top w:val="nil"/>
          <w:left w:val="nil"/>
          <w:bottom w:val="nil"/>
          <w:right w:val="nil"/>
          <w:between w:val="nil"/>
        </w:pBdr>
        <w:spacing w:after="0" w:line="276" w:lineRule="auto"/>
      </w:pPr>
    </w:p>
    <w:p w:rsidR="000B2DA2" w:rsidRDefault="00253DD5">
      <w:pPr>
        <w:ind w:firstLine="709"/>
        <w:jc w:val="center"/>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mallCaps/>
          <w:sz w:val="28"/>
          <w:szCs w:val="28"/>
        </w:rPr>
        <w:t>МІНІСТЕРСТВО ОСВІТИ І НАУКИ УКРАЇНИ</w:t>
      </w: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ФІЗИЧНОГО ВИХОВАННЯ І СПОРТУ УКРАЇНИ</w:t>
      </w: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ТЕОРІЇ І МЕТОДИКИ ФІЗИЧНОГО ВИХОВАННЯ</w:t>
      </w:r>
    </w:p>
    <w:p w:rsidR="000B2DA2" w:rsidRDefault="000B2DA2">
      <w:pPr>
        <w:spacing w:after="0" w:line="360" w:lineRule="auto"/>
        <w:ind w:firstLine="709"/>
        <w:jc w:val="center"/>
        <w:rPr>
          <w:rFonts w:ascii="Times New Roman" w:eastAsia="Times New Roman" w:hAnsi="Times New Roman" w:cs="Times New Roman"/>
          <w:sz w:val="28"/>
          <w:szCs w:val="28"/>
        </w:rPr>
      </w:pPr>
    </w:p>
    <w:p w:rsidR="000B2DA2" w:rsidRDefault="00253DD5">
      <w:pPr>
        <w:spacing w:after="0" w:line="360" w:lineRule="auto"/>
        <w:ind w:firstLine="709"/>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КВАЛІФІКАЦІЙНА РОБОТА</w:t>
      </w: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магістра</w:t>
      </w: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017 Фізична культура і спорт</w:t>
      </w: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освітньою програмою Фізичне виховання</w:t>
      </w:r>
    </w:p>
    <w:p w:rsidR="000B2DA2" w:rsidRDefault="000B2DA2">
      <w:pPr>
        <w:spacing w:after="0" w:line="360" w:lineRule="auto"/>
        <w:ind w:firstLine="709"/>
        <w:jc w:val="center"/>
        <w:rPr>
          <w:rFonts w:ascii="Times New Roman" w:eastAsia="Times New Roman" w:hAnsi="Times New Roman" w:cs="Times New Roman"/>
          <w:sz w:val="28"/>
          <w:szCs w:val="28"/>
        </w:rPr>
      </w:pP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«ВПЛИВ ПРОГРАМИ ОЗДОРОВЧИХ ЗАНЯТЬ СПОРТИВНИМИ ТАНЦЯМИ НА ПОКАЗНИКИ ФІЗИЧНОГО СТАНУ ОСІБ ДРУГОГО ПЕРІОДУ ЗРІЛОГО ВІКУ</w:t>
      </w:r>
      <w:r>
        <w:rPr>
          <w:rFonts w:ascii="Times New Roman" w:eastAsia="Times New Roman" w:hAnsi="Times New Roman" w:cs="Times New Roman"/>
          <w:b/>
          <w:smallCaps/>
          <w:sz w:val="28"/>
          <w:szCs w:val="28"/>
        </w:rPr>
        <w:t xml:space="preserve">»  </w:t>
      </w:r>
    </w:p>
    <w:p w:rsidR="000B2DA2" w:rsidRDefault="000B2DA2">
      <w:pPr>
        <w:spacing w:after="0" w:line="360" w:lineRule="auto"/>
        <w:ind w:firstLine="709"/>
        <w:jc w:val="center"/>
        <w:rPr>
          <w:rFonts w:ascii="Times New Roman" w:eastAsia="Times New Roman" w:hAnsi="Times New Roman" w:cs="Times New Roman"/>
          <w:color w:val="000000"/>
          <w:sz w:val="28"/>
          <w:szCs w:val="28"/>
        </w:rPr>
      </w:pPr>
    </w:p>
    <w:p w:rsidR="000B2DA2" w:rsidRDefault="000B2DA2">
      <w:pPr>
        <w:spacing w:after="0" w:line="360" w:lineRule="auto"/>
        <w:ind w:firstLine="709"/>
        <w:jc w:val="center"/>
        <w:rPr>
          <w:rFonts w:ascii="Times New Roman" w:eastAsia="Times New Roman" w:hAnsi="Times New Roman" w:cs="Times New Roman"/>
          <w:color w:val="000000"/>
          <w:sz w:val="28"/>
          <w:szCs w:val="28"/>
        </w:rPr>
      </w:pP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здобувача вищої освіти</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другого (магістерського) рівня</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Муканова Нурлана Муратовича</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w:t>
      </w:r>
      <w:r>
        <w:rPr>
          <w:rFonts w:ascii="Times New Roman" w:eastAsia="Times New Roman" w:hAnsi="Times New Roman" w:cs="Times New Roman"/>
          <w:color w:val="000000"/>
          <w:sz w:val="28"/>
          <w:szCs w:val="28"/>
        </w:rPr>
        <w:t xml:space="preserve">ковий керівник: </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 фіз. вих., доцент Пальчук М. Б.</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 фіз. вих., доцент Катерина У. М. </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Рекомендовано до захисту на засіданні</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кафедри (протокол № </w:t>
      </w:r>
      <w:r w:rsidR="0072666A">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 xml:space="preserve"> від </w:t>
      </w:r>
      <w:r w:rsidR="0072666A">
        <w:rPr>
          <w:rFonts w:ascii="Times New Roman" w:eastAsia="Times New Roman" w:hAnsi="Times New Roman" w:cs="Times New Roman"/>
          <w:color w:val="000000"/>
          <w:sz w:val="28"/>
          <w:szCs w:val="28"/>
        </w:rPr>
        <w:t xml:space="preserve">29.11.2024 </w:t>
      </w:r>
      <w:bookmarkStart w:id="1" w:name="_GoBack"/>
      <w:bookmarkEnd w:id="1"/>
      <w:r>
        <w:rPr>
          <w:rFonts w:ascii="Times New Roman" w:eastAsia="Times New Roman" w:hAnsi="Times New Roman" w:cs="Times New Roman"/>
          <w:color w:val="000000"/>
          <w:sz w:val="28"/>
          <w:szCs w:val="28"/>
        </w:rPr>
        <w:t>р.)</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Завідувач кафедри: Трачук С. В. </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 фіз. вих., доцент</w:t>
      </w:r>
    </w:p>
    <w:p w:rsidR="000B2DA2" w:rsidRDefault="00253DD5">
      <w:pPr>
        <w:spacing w:after="0" w:line="360" w:lineRule="auto"/>
        <w:ind w:left="36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__________________________________</w:t>
      </w:r>
    </w:p>
    <w:p w:rsidR="000B2DA2" w:rsidRDefault="000B2DA2">
      <w:pPr>
        <w:spacing w:after="0" w:line="360" w:lineRule="auto"/>
        <w:ind w:left="3686"/>
        <w:jc w:val="center"/>
        <w:rPr>
          <w:rFonts w:ascii="Times New Roman" w:eastAsia="Times New Roman" w:hAnsi="Times New Roman" w:cs="Times New Roman"/>
          <w:color w:val="000000"/>
          <w:sz w:val="28"/>
          <w:szCs w:val="28"/>
        </w:rPr>
      </w:pPr>
    </w:p>
    <w:p w:rsidR="000B2DA2" w:rsidRDefault="000B2DA2">
      <w:pPr>
        <w:spacing w:after="0" w:line="360" w:lineRule="auto"/>
        <w:ind w:firstLine="709"/>
        <w:jc w:val="center"/>
        <w:rPr>
          <w:rFonts w:ascii="Times New Roman" w:eastAsia="Times New Roman" w:hAnsi="Times New Roman" w:cs="Times New Roman"/>
          <w:color w:val="000000"/>
          <w:sz w:val="28"/>
          <w:szCs w:val="28"/>
        </w:rPr>
      </w:pPr>
    </w:p>
    <w:p w:rsidR="000B2DA2" w:rsidRDefault="00253DD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color w:val="000000"/>
          <w:sz w:val="28"/>
          <w:szCs w:val="28"/>
        </w:rPr>
        <w:lastRenderedPageBreak/>
        <w:t xml:space="preserve">Київ </w:t>
      </w:r>
      <w:r>
        <w:rPr>
          <w:rFonts w:ascii="Symbol" w:eastAsia="Symbol" w:hAnsi="Symbol" w:cs="Symbol"/>
          <w:color w:val="000000"/>
          <w:sz w:val="28"/>
          <w:szCs w:val="28"/>
        </w:rPr>
        <w:t>−</w:t>
      </w:r>
      <w:r>
        <w:rPr>
          <w:rFonts w:ascii="Times New Roman" w:eastAsia="Times New Roman" w:hAnsi="Times New Roman" w:cs="Times New Roman"/>
          <w:color w:val="000000"/>
          <w:sz w:val="28"/>
          <w:szCs w:val="28"/>
        </w:rPr>
        <w:t xml:space="preserve"> 2024</w:t>
      </w:r>
    </w:p>
    <w:p w:rsidR="000B2DA2" w:rsidRDefault="00253DD5">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ЗМІСТ</w:t>
      </w:r>
    </w:p>
    <w:tbl>
      <w:tblPr>
        <w:tblStyle w:val="af7"/>
        <w:tblW w:w="935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536"/>
        <w:gridCol w:w="6454"/>
        <w:gridCol w:w="1364"/>
      </w:tblGrid>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tc>
        <w:tc>
          <w:tcPr>
            <w:tcW w:w="6454" w:type="dxa"/>
          </w:tcPr>
          <w:p w:rsidR="000B2DA2" w:rsidRDefault="000B2DA2">
            <w:pPr>
              <w:spacing w:line="360" w:lineRule="auto"/>
              <w:jc w:val="both"/>
              <w:rPr>
                <w:rFonts w:ascii="Times New Roman" w:eastAsia="Times New Roman" w:hAnsi="Times New Roman" w:cs="Times New Roman"/>
                <w:sz w:val="28"/>
                <w:szCs w:val="28"/>
              </w:rPr>
            </w:pPr>
          </w:p>
        </w:tc>
        <w:tc>
          <w:tcPr>
            <w:tcW w:w="1364" w:type="dxa"/>
          </w:tcPr>
          <w:p w:rsidR="000B2DA2" w:rsidRDefault="000B2DA2">
            <w:pPr>
              <w:spacing w:line="360" w:lineRule="auto"/>
              <w:jc w:val="center"/>
              <w:rPr>
                <w:rFonts w:ascii="Times New Roman" w:eastAsia="Times New Roman" w:hAnsi="Times New Roman" w:cs="Times New Roman"/>
                <w:sz w:val="28"/>
                <w:szCs w:val="28"/>
              </w:rPr>
            </w:pP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ТЕОРЕТИКО-МЕТОДИЧНІ ОСОБЛИВОСТІ ОРГАНІЗАЦІЇ ФІЗКУЛЬТУРНО-ОЗДОРОВЧИХ ЗАНЯТЬ З ОСОБАМИ ДРУГОГО ПЕРІОДУ ЗРІЛОГО ВІКУ</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фізичного стану осіб другого періоду зрілого віку</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спеціально організованої рухової активності в житті осіб зрілого віку</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підходи до побудови програм фізкультурно-оздоровчих занять для осіб зрілого віку</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r>
      <w:tr w:rsidR="000B2DA2">
        <w:tc>
          <w:tcPr>
            <w:tcW w:w="7990" w:type="dxa"/>
            <w:gridSpan w:val="2"/>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до розділу 1 </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ТА ОРГАНІЗАЦІЯ ДОСЛІДЖЕННЯ</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2.1.1</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Теоретичний аналіз і узагальнення даних науково-методичної літератури</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2.1.2</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Антропометричні методи дослідження</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Фізіологічні методи дослідження</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2.1.4</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Психодіагностичні методи дослідження </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2.1.5</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Педагогічні методи дослідження</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2.1.6</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математичної статистики</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дослідження</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ОЗДОРОВЧИХ ЗАНЯТЬ СПОРТИВНИМИ ТАНЦЯМИ ДЛЯ ОСІБ ДРУГОГО ПЕРІОДУ ЗРІЛОГО ВІКУ: </w:t>
            </w:r>
            <w:r>
              <w:rPr>
                <w:rFonts w:ascii="Times New Roman" w:eastAsia="Times New Roman" w:hAnsi="Times New Roman" w:cs="Times New Roman"/>
                <w:sz w:val="28"/>
                <w:szCs w:val="28"/>
              </w:rPr>
              <w:lastRenderedPageBreak/>
              <w:t>ОБҐРУНТУВАННЯ, РОЗРОБКА, ВИЗНАЧЕННЯ ЕФЕКТИВНОСТІ</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32</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3.1.</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фізичного та психоемоційного стану осіб другого періоду зрілого віку</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Мотиваційні пріоритети до занять спеціально організованою руховою активністю осіб другого періоду зрілого віку</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Складові програми занять спортивними танцями для чоловіків та жінок 36-45 років</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0B2DA2">
        <w:tc>
          <w:tcPr>
            <w:tcW w:w="1536"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6454"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програми занять спортивними танцями на показники фізичного стану та якості життя чоловіків та жінок 36-45 років</w:t>
            </w:r>
          </w:p>
        </w:tc>
        <w:tc>
          <w:tcPr>
            <w:tcW w:w="1364" w:type="dxa"/>
          </w:tcPr>
          <w:p w:rsidR="000B2DA2" w:rsidRDefault="000B2DA2">
            <w:pPr>
              <w:spacing w:line="360" w:lineRule="auto"/>
              <w:jc w:val="center"/>
              <w:rPr>
                <w:rFonts w:ascii="Times New Roman" w:eastAsia="Times New Roman" w:hAnsi="Times New Roman" w:cs="Times New Roman"/>
                <w:sz w:val="28"/>
                <w:szCs w:val="28"/>
              </w:rPr>
            </w:pPr>
          </w:p>
          <w:p w:rsidR="000B2DA2" w:rsidRDefault="000B2DA2">
            <w:pPr>
              <w:spacing w:line="360" w:lineRule="auto"/>
              <w:jc w:val="center"/>
              <w:rPr>
                <w:rFonts w:ascii="Times New Roman" w:eastAsia="Times New Roman" w:hAnsi="Times New Roman" w:cs="Times New Roman"/>
                <w:sz w:val="28"/>
                <w:szCs w:val="28"/>
              </w:rPr>
            </w:pPr>
          </w:p>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46</w:t>
            </w:r>
          </w:p>
        </w:tc>
      </w:tr>
      <w:tr w:rsidR="000B2DA2">
        <w:tc>
          <w:tcPr>
            <w:tcW w:w="7990" w:type="dxa"/>
            <w:gridSpan w:val="2"/>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0B2DA2">
        <w:tc>
          <w:tcPr>
            <w:tcW w:w="7990" w:type="dxa"/>
            <w:gridSpan w:val="2"/>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w:t>
            </w:r>
          </w:p>
        </w:tc>
      </w:tr>
      <w:tr w:rsidR="000B2DA2">
        <w:tc>
          <w:tcPr>
            <w:tcW w:w="7990" w:type="dxa"/>
            <w:gridSpan w:val="2"/>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tc>
        <w:tc>
          <w:tcPr>
            <w:tcW w:w="1364"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r>
    </w:tbl>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center"/>
        <w:rPr>
          <w:rFonts w:ascii="Times New Roman" w:eastAsia="Times New Roman" w:hAnsi="Times New Roman" w:cs="Times New Roman"/>
          <w:sz w:val="28"/>
          <w:szCs w:val="28"/>
        </w:rPr>
      </w:pPr>
      <w:r>
        <w:br w:type="column"/>
      </w:r>
      <w:r>
        <w:rPr>
          <w:rFonts w:ascii="Times New Roman" w:eastAsia="Times New Roman" w:hAnsi="Times New Roman" w:cs="Times New Roman"/>
          <w:b/>
          <w:sz w:val="28"/>
          <w:szCs w:val="28"/>
        </w:rPr>
        <w:lastRenderedPageBreak/>
        <w:t>ВСТУП</w:t>
      </w: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Сучасний ритм життя, підвищений рівень психофізичних навантажень, малорухливий спосіб життя є причинами зростання захворюваності, зниження якості та тривалості життя осіб зрілого віку [16, 52]. Здоров’язбереження найбільш діяльної частини населення країни </w:t>
      </w:r>
      <w:r>
        <w:rPr>
          <w:rFonts w:ascii="Times New Roman" w:eastAsia="Times New Roman" w:hAnsi="Times New Roman" w:cs="Times New Roman"/>
          <w:sz w:val="28"/>
          <w:szCs w:val="28"/>
        </w:rPr>
        <w:t xml:space="preserve">є важливим стратегічним завданням, котре потребує пошуку науково-обґрунтованих заходів, котрі спрямовані на докорінну зміну ситуації, яка склалася.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період зрілого віку у чоловіків та жінок як правило пов’язаний із реалізацією у трудовій діяльності,</w:t>
      </w:r>
      <w:r>
        <w:rPr>
          <w:rFonts w:ascii="Times New Roman" w:eastAsia="Times New Roman" w:hAnsi="Times New Roman" w:cs="Times New Roman"/>
          <w:sz w:val="28"/>
          <w:szCs w:val="28"/>
        </w:rPr>
        <w:t xml:space="preserve"> яка потребує витрат нервово-психічної та м’язової енергії. Характерною особливістю другого періоду зрілого віку є настання природніх інволюційних змін: зниження функціональної тренованості, аеробної і анаеробної продуктивності, уповільнення відновлювальни</w:t>
      </w:r>
      <w:r>
        <w:rPr>
          <w:rFonts w:ascii="Times New Roman" w:eastAsia="Times New Roman" w:hAnsi="Times New Roman" w:cs="Times New Roman"/>
          <w:sz w:val="28"/>
          <w:szCs w:val="28"/>
        </w:rPr>
        <w:t>х процесів, зниження обміну речовин, порушення економічності роботи організму [32].</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Протистояти факторам ризику здоров’я осіб другого періоду зрілого віку покликана організована фізкультурно-оздоровча діяльність, котра сприяє розширенню функціональних можл</w:t>
      </w:r>
      <w:r>
        <w:rPr>
          <w:rFonts w:ascii="Times New Roman" w:eastAsia="Times New Roman" w:hAnsi="Times New Roman" w:cs="Times New Roman"/>
          <w:sz w:val="28"/>
          <w:szCs w:val="28"/>
        </w:rPr>
        <w:t>ивостей, поліпшенню показників рівня розвитку фізичних якостей, а також організації змістовного дозвілля.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Беззаперечним є інтерес науковців до питань, котрі стосуються залучення дорослого населення до занять спеціально організованою руховою активністю. Зок</w:t>
      </w:r>
      <w:r>
        <w:rPr>
          <w:rFonts w:ascii="Times New Roman" w:eastAsia="Times New Roman" w:hAnsi="Times New Roman" w:cs="Times New Roman"/>
          <w:sz w:val="28"/>
          <w:szCs w:val="28"/>
        </w:rPr>
        <w:t>рема, С. Х. Канаан, В. І. Матійчук, О. В. Маслова, Т. О. Хабинець, Х. Хуана [19] займались розробкою змісту та структури технології фізкультурно-оздоровчих занять із жінками 36–40 років з урахуванням індивідуальних особливостей просторової організації їхнь</w:t>
      </w:r>
      <w:r>
        <w:rPr>
          <w:rFonts w:ascii="Times New Roman" w:eastAsia="Times New Roman" w:hAnsi="Times New Roman" w:cs="Times New Roman"/>
          <w:sz w:val="28"/>
          <w:szCs w:val="28"/>
        </w:rPr>
        <w:t>ого тіла. Г. Бойко, В. Волошко [9] досліджували ефективність функціональних тренувань на свіжому повітрі з використанням TRX в системі оздоровчо-рекреаційних занять осіб другого зрілого віку. Н. Я. Бондарчук, В. Г. Тулайдан, О. І. Тимочко [10] займались ви</w:t>
      </w:r>
      <w:r>
        <w:rPr>
          <w:rFonts w:ascii="Times New Roman" w:eastAsia="Times New Roman" w:hAnsi="Times New Roman" w:cs="Times New Roman"/>
          <w:sz w:val="28"/>
          <w:szCs w:val="28"/>
        </w:rPr>
        <w:t xml:space="preserve">вченням застосування </w:t>
      </w:r>
      <w:r>
        <w:rPr>
          <w:rFonts w:ascii="Times New Roman" w:eastAsia="Times New Roman" w:hAnsi="Times New Roman" w:cs="Times New Roman"/>
          <w:sz w:val="28"/>
          <w:szCs w:val="28"/>
        </w:rPr>
        <w:lastRenderedPageBreak/>
        <w:t>диференційованого підходу при розробці програм занять оздоровчою ходьбою для осіб другого зрілого віку. Н. В. Москаленко, К. Г. Пацалюк [30] здійснили аналіз наукової літератури щодо особливостей побудови програм фізкультурно-оздоровчи</w:t>
      </w:r>
      <w:r>
        <w:rPr>
          <w:rFonts w:ascii="Times New Roman" w:eastAsia="Times New Roman" w:hAnsi="Times New Roman" w:cs="Times New Roman"/>
          <w:sz w:val="28"/>
          <w:szCs w:val="28"/>
        </w:rPr>
        <w:t xml:space="preserve">х занять для осіб зрілого віку. А також запропонували власний підхід до вирішення окресленого завдання. Проте, досить фрагментарно [57] представлено дані щодо можливості використання спортивних танців у процесі організації фізкультурно-оздоровчих занять з </w:t>
      </w:r>
      <w:r>
        <w:rPr>
          <w:rFonts w:ascii="Times New Roman" w:eastAsia="Times New Roman" w:hAnsi="Times New Roman" w:cs="Times New Roman"/>
          <w:sz w:val="28"/>
          <w:szCs w:val="28"/>
        </w:rPr>
        <w:t xml:space="preserve">особами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Зважаючи на зазначене, актуальним залишається питання побудови програми та залучення осіб другого періоду зрілого віку до оздоровчих занять спортивними танцями.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 теоретично обґрунтувати та розробити програму оздоровчих занять спортивними танцями для осіб другого періоду зрілого віку та перевірити її ефективність</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дослідження</w:t>
      </w:r>
      <w:r>
        <w:rPr>
          <w:rFonts w:ascii="Times New Roman" w:eastAsia="Times New Roman" w:hAnsi="Times New Roman" w:cs="Times New Roman"/>
          <w:sz w:val="28"/>
          <w:szCs w:val="28"/>
        </w:rPr>
        <w:t>:</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Здійснити аналіз фахової науково-методичної літератури щодо теоретико-методи</w:t>
      </w:r>
      <w:r>
        <w:rPr>
          <w:rFonts w:ascii="Times New Roman" w:eastAsia="Times New Roman" w:hAnsi="Times New Roman" w:cs="Times New Roman"/>
          <w:sz w:val="28"/>
          <w:szCs w:val="28"/>
        </w:rPr>
        <w:t>чних особливостей організації фізкультурно-оздоровчих занять з особами другого періоду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Визначити особливості фізичного, психоемоційного стану та мотиваційні пріоритети до занять спеціально організованою руховою активністю осіб другого періо</w:t>
      </w:r>
      <w:r>
        <w:rPr>
          <w:rFonts w:ascii="Times New Roman" w:eastAsia="Times New Roman" w:hAnsi="Times New Roman" w:cs="Times New Roman"/>
          <w:sz w:val="28"/>
          <w:szCs w:val="28"/>
        </w:rPr>
        <w:t>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Розробити програму оздоровчих занять спортивними танцями та визначити її вплив на показники фізичного стану та якості життя осіб 36-45 років</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фізкультурно-оздоровчі заняття спортивними танцями з особами другого період</w:t>
      </w:r>
      <w:r>
        <w:rPr>
          <w:rFonts w:ascii="Times New Roman" w:eastAsia="Times New Roman" w:hAnsi="Times New Roman" w:cs="Times New Roman"/>
          <w:sz w:val="28"/>
          <w:szCs w:val="28"/>
        </w:rPr>
        <w:t>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вплив програми оздоровчих занять спортивними танцями на показники фізичного стану осіб 36-45 років</w:t>
      </w: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 дослідження: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теоретичний аналіз і узагальнення даних науково-методичної літератури;</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антропометричні методи до</w:t>
      </w:r>
      <w:r>
        <w:rPr>
          <w:rFonts w:ascii="Times New Roman" w:eastAsia="Times New Roman" w:hAnsi="Times New Roman" w:cs="Times New Roman"/>
          <w:sz w:val="28"/>
          <w:szCs w:val="28"/>
        </w:rPr>
        <w:t>слідження;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фізіологічні методи дослідження;</w:t>
      </w:r>
    </w:p>
    <w:p w:rsidR="000B2DA2" w:rsidRDefault="00253DD5">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психодіагностичні методи дослідження; </w:t>
      </w:r>
    </w:p>
    <w:p w:rsidR="000B2DA2" w:rsidRDefault="00253DD5">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педагогічні методи дослідження;</w:t>
      </w:r>
    </w:p>
    <w:p w:rsidR="000B2DA2" w:rsidRDefault="00253DD5">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методи математичної статистики</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w:t>
      </w:r>
      <w:r>
        <w:rPr>
          <w:rFonts w:ascii="Times New Roman" w:eastAsia="Times New Roman" w:hAnsi="Times New Roman" w:cs="Times New Roman"/>
          <w:sz w:val="28"/>
          <w:szCs w:val="28"/>
        </w:rPr>
        <w:t xml:space="preserve"> полягає у отриманні нових даних, котрі стосуються ефективності використання засобів сп</w:t>
      </w:r>
      <w:r>
        <w:rPr>
          <w:rFonts w:ascii="Times New Roman" w:eastAsia="Times New Roman" w:hAnsi="Times New Roman" w:cs="Times New Roman"/>
          <w:sz w:val="28"/>
          <w:szCs w:val="28"/>
        </w:rPr>
        <w:t>ортивних танців в процесі організації фізкультурно-оздоровчих занять з особами другого періоду зрілого віку. Доповнено інформацію котра стосується особливостей фізичного та психоемоційного стану чоловіків та жінок 36-45 років, а також показників якості їхн</w:t>
      </w:r>
      <w:r>
        <w:rPr>
          <w:rFonts w:ascii="Times New Roman" w:eastAsia="Times New Roman" w:hAnsi="Times New Roman" w:cs="Times New Roman"/>
          <w:sz w:val="28"/>
          <w:szCs w:val="28"/>
        </w:rPr>
        <w:t xml:space="preserve">ього життя.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Практична значущість роботи</w:t>
      </w:r>
      <w:r>
        <w:rPr>
          <w:rFonts w:ascii="Times New Roman" w:eastAsia="Times New Roman" w:hAnsi="Times New Roman" w:cs="Times New Roman"/>
          <w:sz w:val="28"/>
          <w:szCs w:val="28"/>
        </w:rPr>
        <w:t xml:space="preserve"> полягає у можливості використання розробленої програми для організації оздоровчих занять зі спортивних танців з чоловіками та жінками другого періоду зрілого віку. Програма може бути використана тренерами, інструкто</w:t>
      </w:r>
      <w:r>
        <w:rPr>
          <w:rFonts w:ascii="Times New Roman" w:eastAsia="Times New Roman" w:hAnsi="Times New Roman" w:cs="Times New Roman"/>
          <w:sz w:val="28"/>
          <w:szCs w:val="28"/>
        </w:rPr>
        <w:t xml:space="preserve">рами спортивних клубів з метою організації занять для осіб другого періоду зрілого віку, спрямованих на підвищення рівня рухової активності, збагачення рухового досвіду, покращення показників самопочуття, активності, настрою та якості життя.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w:t>
      </w:r>
      <w:r>
        <w:rPr>
          <w:rFonts w:ascii="Times New Roman" w:eastAsia="Times New Roman" w:hAnsi="Times New Roman" w:cs="Times New Roman"/>
          <w:b/>
          <w:sz w:val="28"/>
          <w:szCs w:val="28"/>
        </w:rPr>
        <w:t>оти</w:t>
      </w:r>
      <w:r>
        <w:rPr>
          <w:rFonts w:ascii="Times New Roman" w:eastAsia="Times New Roman" w:hAnsi="Times New Roman" w:cs="Times New Roman"/>
          <w:sz w:val="28"/>
          <w:szCs w:val="28"/>
        </w:rPr>
        <w:t xml:space="preserve">. Кваліфікаційна робота представлена на 62 сторінках друкованого тексту та складається зі вступу, трьох розділів, висновків, списку використаних джерел, який налічує 60 найменувань. Робота ілюстрована 6 таблицями та 12 рисунками. </w:t>
      </w: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center"/>
        <w:rPr>
          <w:rFonts w:ascii="Times New Roman" w:eastAsia="Times New Roman" w:hAnsi="Times New Roman" w:cs="Times New Roman"/>
          <w:b/>
          <w:sz w:val="28"/>
          <w:szCs w:val="28"/>
        </w:rPr>
      </w:pPr>
      <w:r>
        <w:br w:type="column"/>
      </w:r>
      <w:r>
        <w:rPr>
          <w:rFonts w:ascii="Times New Roman" w:eastAsia="Times New Roman" w:hAnsi="Times New Roman" w:cs="Times New Roman"/>
          <w:b/>
          <w:sz w:val="28"/>
          <w:szCs w:val="28"/>
        </w:rPr>
        <w:lastRenderedPageBreak/>
        <w:t>РОЗДІЛ 1</w:t>
      </w:r>
    </w:p>
    <w:p w:rsidR="000B2DA2" w:rsidRDefault="00253DD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ТЕОРЕТИКО-М</w:t>
      </w:r>
      <w:r>
        <w:rPr>
          <w:rFonts w:ascii="Times New Roman" w:eastAsia="Times New Roman" w:hAnsi="Times New Roman" w:cs="Times New Roman"/>
          <w:b/>
          <w:sz w:val="28"/>
          <w:szCs w:val="28"/>
        </w:rPr>
        <w:t>ЕТОДИЧНІ ОСОБЛИВОСТІ ОРГАНІЗАЦІЇ ФІЗКУЛЬТУРНО-ОЗДОРОВЧИХ ЗАНЯТЬ З ОСОБАМИ ДРУГОГО ПЕРІОДУ ЗРІЛОГО ВІКУ</w:t>
      </w:r>
    </w:p>
    <w:p w:rsidR="000B2DA2" w:rsidRDefault="000B2DA2">
      <w:pPr>
        <w:spacing w:after="0" w:line="360" w:lineRule="auto"/>
        <w:ind w:firstLine="709"/>
        <w:jc w:val="center"/>
        <w:rPr>
          <w:rFonts w:ascii="Times New Roman" w:eastAsia="Times New Roman" w:hAnsi="Times New Roman" w:cs="Times New Roman"/>
          <w:b/>
          <w:sz w:val="28"/>
          <w:szCs w:val="28"/>
        </w:rPr>
      </w:pPr>
    </w:p>
    <w:p w:rsidR="000B2DA2" w:rsidRDefault="000B2DA2">
      <w:pPr>
        <w:spacing w:after="0" w:line="360" w:lineRule="auto"/>
        <w:ind w:firstLine="709"/>
        <w:jc w:val="center"/>
        <w:rPr>
          <w:rFonts w:ascii="Times New Roman" w:eastAsia="Times New Roman" w:hAnsi="Times New Roman" w:cs="Times New Roman"/>
          <w:b/>
          <w:sz w:val="28"/>
          <w:szCs w:val="28"/>
        </w:rPr>
      </w:pP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1.1.</w:t>
      </w:r>
      <w:r>
        <w:rPr>
          <w:rFonts w:ascii="Times New Roman" w:eastAsia="Times New Roman" w:hAnsi="Times New Roman" w:cs="Times New Roman"/>
          <w:b/>
          <w:sz w:val="28"/>
          <w:szCs w:val="28"/>
        </w:rPr>
        <w:tab/>
        <w:t>Особливості фізичного стану осіб другого періоду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Зрілий вік є своєрідним проміжним етапом, що охоплює період життя людини від 21 до 6</w:t>
      </w:r>
      <w:r>
        <w:rPr>
          <w:rFonts w:ascii="Times New Roman" w:eastAsia="Times New Roman" w:hAnsi="Times New Roman" w:cs="Times New Roman"/>
          <w:sz w:val="28"/>
          <w:szCs w:val="28"/>
        </w:rPr>
        <w:t>0 років. Однак ці межі досить умовні, адже людина може зараховувати чи не зараховувати себе до цієї категорії залежно від особливостей свого життя: віку дітей, самопочуття, професійних досягнень тощо. Тому і тривалість зрілого дорослого віку у різних людей</w:t>
      </w:r>
      <w:r>
        <w:rPr>
          <w:rFonts w:ascii="Times New Roman" w:eastAsia="Times New Roman" w:hAnsi="Times New Roman" w:cs="Times New Roman"/>
          <w:sz w:val="28"/>
          <w:szCs w:val="28"/>
        </w:rPr>
        <w:t xml:space="preserve"> буває різною. Оскільки другий період зрілого віку охоплює значний віковий діапазон – понад 20 років, протягом якого відбуваються суттєві фізіологічні зміни в організмі, зазвичай в межах даного вікового періоду виокремлюють: перший у чоловіків – 22-35 рокі</w:t>
      </w:r>
      <w:r>
        <w:rPr>
          <w:rFonts w:ascii="Times New Roman" w:eastAsia="Times New Roman" w:hAnsi="Times New Roman" w:cs="Times New Roman"/>
          <w:sz w:val="28"/>
          <w:szCs w:val="28"/>
        </w:rPr>
        <w:t>в, у жінок відповідно – 21-35 років; другий у чоловіків – 36-60 років, у жінок відповідно – 36-55 років [23, 29].</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досягнення людиною 40 років  в організмі наступають вікові зміни: звужуються судини та знижується їх еластичність. Це призводить до погіршення кровопостачання життєво важливих органів: серця, мозку, печінки, нирок, селезінки, сповільнюються відновлюв</w:t>
      </w:r>
      <w:r>
        <w:rPr>
          <w:rFonts w:ascii="Times New Roman" w:eastAsia="Times New Roman" w:hAnsi="Times New Roman" w:cs="Times New Roman"/>
          <w:sz w:val="28"/>
          <w:szCs w:val="28"/>
        </w:rPr>
        <w:t>альні процеси, слабнуть м’язи спини та живота; стають більш тонкими, відносно тулуба, кінцівки. Як наслідок – формується інший зовнішній вигляд людини [39].</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30-35 років поступово проявляються процеси згасання (інволюція). Так, вже починаючи з 30 років, відбувається зниження функціональної тренованості за рядом показників. Зокрема, в 30-39 років функціональна тренованість в середньому становить 85-90 % ві</w:t>
      </w:r>
      <w:r>
        <w:rPr>
          <w:rFonts w:ascii="Times New Roman" w:eastAsia="Times New Roman" w:hAnsi="Times New Roman" w:cs="Times New Roman"/>
          <w:sz w:val="28"/>
          <w:szCs w:val="28"/>
        </w:rPr>
        <w:t xml:space="preserve">д рівня 20-29-річних, в 40-49 років – 75-80 %, в 50-59 років – 65-70 %, в 60 69 років – 55-60 % [32].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Зниження функціональної тренованості обумовлено: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обмеженням рухової активності функцій окремих систем організму;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порушенням регуляції функцій серцев</w:t>
      </w:r>
      <w:r>
        <w:rPr>
          <w:rFonts w:ascii="Times New Roman" w:eastAsia="Times New Roman" w:hAnsi="Times New Roman" w:cs="Times New Roman"/>
          <w:sz w:val="28"/>
          <w:szCs w:val="28"/>
        </w:rPr>
        <w:t xml:space="preserve">о-судинної і дихальної систем, обміну речовин;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зниженням аеробної і анаеробної продуктивності;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уповільненням відновлювальних процесів;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порушенням економічності роботи організму в цілому [32, 56].</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Нервова система людини на початку життя має 14 млн </w:t>
      </w:r>
      <w:r>
        <w:rPr>
          <w:rFonts w:ascii="Times New Roman" w:eastAsia="Times New Roman" w:hAnsi="Times New Roman" w:cs="Times New Roman"/>
          <w:sz w:val="28"/>
          <w:szCs w:val="28"/>
        </w:rPr>
        <w:t>нейронів, але, починаючи з 30 року життя, щодня втрачає 30-50 тис нейронів. Електрична активність головного мозку, що залежить від рівня інтенсивності перебігу обмінних процесів у ньому, об’єктивно характеризує динаміку його стану. У період від третього до</w:t>
      </w:r>
      <w:r>
        <w:rPr>
          <w:rFonts w:ascii="Times New Roman" w:eastAsia="Times New Roman" w:hAnsi="Times New Roman" w:cs="Times New Roman"/>
          <w:sz w:val="28"/>
          <w:szCs w:val="28"/>
        </w:rPr>
        <w:t xml:space="preserve"> шостого десятиліття життя виявляються зміни, що характеризуються деяким пришвидшенням альфа-ритму та зменшенням числа спостережень із уповільненням альфа-ритму. Після 50 років послаблюються процеси внутрішнього гальмування, збільшується інертність процесі</w:t>
      </w:r>
      <w:r>
        <w:rPr>
          <w:rFonts w:ascii="Times New Roman" w:eastAsia="Times New Roman" w:hAnsi="Times New Roman" w:cs="Times New Roman"/>
          <w:sz w:val="28"/>
          <w:szCs w:val="28"/>
        </w:rPr>
        <w:t>в збудження. У осіб, котрі не займаються спортом, уже до 30 років спостерігається подовження прихованого періоду рухової реакції на сигнал, зменшення швидкості виконання окремого руху, а також швидкості зміни одного руху іншим (темпу), погіршується координ</w:t>
      </w:r>
      <w:r>
        <w:rPr>
          <w:rFonts w:ascii="Times New Roman" w:eastAsia="Times New Roman" w:hAnsi="Times New Roman" w:cs="Times New Roman"/>
          <w:sz w:val="28"/>
          <w:szCs w:val="28"/>
        </w:rPr>
        <w:t>ація рухів [22].</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45-50 років відбувається рарефікація (розрідження) тканини трубчастих кісток із потоншенням кортикального шару та розширенням кістково-мозкового каналу. Спостерігається прогресуюча деформація хребців. Фізичне навантаження стимулює остеоб</w:t>
      </w:r>
      <w:r>
        <w:rPr>
          <w:rFonts w:ascii="Times New Roman" w:eastAsia="Times New Roman" w:hAnsi="Times New Roman" w:cs="Times New Roman"/>
          <w:sz w:val="28"/>
          <w:szCs w:val="28"/>
        </w:rPr>
        <w:t>ластичну діяльність кісткової тканини, через що процес рарефікації менший у кістках, що частіше піддаються навантаженню: тілах хребців, стегновій кістці (шийці), променевій кістці. По мірі розвитку остеопорозу порушується опорна функція кісткової тканини [</w:t>
      </w:r>
      <w:r>
        <w:rPr>
          <w:rFonts w:ascii="Times New Roman" w:eastAsia="Times New Roman" w:hAnsi="Times New Roman" w:cs="Times New Roman"/>
          <w:sz w:val="28"/>
          <w:szCs w:val="28"/>
        </w:rPr>
        <w:t>21].</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Важливими індикаторами стану здоров’я організму залишаються частота серцевих скорочень (ЧСС) та артеріальний тиск (АТ). ЧСС – кількість скорочень серця за хвилину. Для дорослої людини нормальним значенням пульсу є від 60 до 90 ударів за хвилину (уд/хв</w:t>
      </w:r>
      <w:r>
        <w:rPr>
          <w:rFonts w:ascii="Times New Roman" w:eastAsia="Times New Roman" w:hAnsi="Times New Roman" w:cs="Times New Roman"/>
          <w:sz w:val="28"/>
          <w:szCs w:val="28"/>
        </w:rPr>
        <w:t xml:space="preserve">) в спокої. Згідно рекомендацій </w:t>
      </w:r>
      <w:r>
        <w:rPr>
          <w:rFonts w:ascii="Times New Roman" w:eastAsia="Times New Roman" w:hAnsi="Times New Roman" w:cs="Times New Roman"/>
          <w:sz w:val="28"/>
          <w:szCs w:val="28"/>
        </w:rPr>
        <w:lastRenderedPageBreak/>
        <w:t xml:space="preserve">ВООЗ, значення норми артеріального тиску для дорослої людини складає: систолічний 120-129, діастолічний – 80-84 мм. рт. ст. [28].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особливостями старіючого серця є атрофія міокарда, дилатація серця, склеротичні змі</w:t>
      </w:r>
      <w:r>
        <w:rPr>
          <w:rFonts w:ascii="Times New Roman" w:eastAsia="Times New Roman" w:hAnsi="Times New Roman" w:cs="Times New Roman"/>
          <w:sz w:val="28"/>
          <w:szCs w:val="28"/>
        </w:rPr>
        <w:t>ни коронарних судин. Наслідком таких змін є погіршення провідності та скоротливої здатності міокарда. Все це призводить до зменшення з віком ХОК, який після 50 років зменшується в середньому на 1% за рік. Із віком спостерігається зростання артеріального ти</w:t>
      </w:r>
      <w:r>
        <w:rPr>
          <w:rFonts w:ascii="Times New Roman" w:eastAsia="Times New Roman" w:hAnsi="Times New Roman" w:cs="Times New Roman"/>
          <w:sz w:val="28"/>
          <w:szCs w:val="28"/>
        </w:rPr>
        <w:t>ску. Воно обумовлене як склеротичним потовщенням внутрішньої оболонки великих артерій, атрофією м'язового шару, зниженням еластичності судинної стінки, так і склеризацією дрібних артерій, яке призводить до зменшення їхнього просвіту та зростання периферичн</w:t>
      </w:r>
      <w:r>
        <w:rPr>
          <w:rFonts w:ascii="Times New Roman" w:eastAsia="Times New Roman" w:hAnsi="Times New Roman" w:cs="Times New Roman"/>
          <w:sz w:val="28"/>
          <w:szCs w:val="28"/>
        </w:rPr>
        <w:t>ого опору судинного русла. Ще одним фактором погіршення кровопостачання є потовщення мембран капілярів, збільшення кількості в ній колагену, зменшення просвіту капілярів та густини капілярної сітки. Такі зміни судин спричинюють погіршення кровопостачання м</w:t>
      </w:r>
      <w:r>
        <w:rPr>
          <w:rFonts w:ascii="Times New Roman" w:eastAsia="Times New Roman" w:hAnsi="Times New Roman" w:cs="Times New Roman"/>
          <w:sz w:val="28"/>
          <w:szCs w:val="28"/>
        </w:rPr>
        <w:t>’язів. Встановлено, що МСК чоловіків після 25 років знижується приблизно на 1% за рік. Водночас зміни МСК з віком індивідуальні та залежать від фізичної активності особи [21].</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Зниження фізичної підготовленості обумовлено наступними чинниками: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зменшення </w:t>
      </w:r>
      <w:r>
        <w:rPr>
          <w:rFonts w:ascii="Times New Roman" w:eastAsia="Times New Roman" w:hAnsi="Times New Roman" w:cs="Times New Roman"/>
          <w:sz w:val="28"/>
          <w:szCs w:val="28"/>
        </w:rPr>
        <w:t xml:space="preserve">м’язової маси, а також вмісту води, кальцію, калію в м’язовій тканині, що призводить до втрати еластичності м’язів впливає на показники силових здібностей;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через порушення функцій киснево-транспортної системи знижуються показники витривалості;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 зв’я</w:t>
      </w:r>
      <w:r>
        <w:rPr>
          <w:rFonts w:ascii="Times New Roman" w:eastAsia="Times New Roman" w:hAnsi="Times New Roman" w:cs="Times New Roman"/>
          <w:sz w:val="28"/>
          <w:szCs w:val="28"/>
        </w:rPr>
        <w:t>зку зі зниженням м’язової сили, функцій систем енергозабезпечення м’язової діяльності, порушенням координації в ЦНС погіршуються показники швидкісних здібностей;</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через погіршення рухливості нервових процесів погіршується координація;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зміни в діяльност</w:t>
      </w:r>
      <w:r>
        <w:rPr>
          <w:rFonts w:ascii="Times New Roman" w:eastAsia="Times New Roman" w:hAnsi="Times New Roman" w:cs="Times New Roman"/>
          <w:sz w:val="28"/>
          <w:szCs w:val="28"/>
        </w:rPr>
        <w:t>і опорно-рухового апарату впливають на показники гнучкості [32].</w:t>
      </w: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1.2.</w:t>
      </w:r>
      <w:r>
        <w:rPr>
          <w:rFonts w:ascii="Times New Roman" w:eastAsia="Times New Roman" w:hAnsi="Times New Roman" w:cs="Times New Roman"/>
          <w:b/>
          <w:sz w:val="28"/>
          <w:szCs w:val="28"/>
        </w:rPr>
        <w:tab/>
        <w:t xml:space="preserve">Роль спеціально організованої рухової активності в житті осіб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Унаслідок інформатизації всіх сфер життєдіяльності людини та автоматизації низки побутових видів діяльності ос</w:t>
      </w:r>
      <w:r>
        <w:rPr>
          <w:rFonts w:ascii="Times New Roman" w:eastAsia="Times New Roman" w:hAnsi="Times New Roman" w:cs="Times New Roman"/>
          <w:sz w:val="28"/>
          <w:szCs w:val="28"/>
        </w:rPr>
        <w:t>оби зрілого віку, які охоплюють значну частку продуктивного населення, усе більше часу на роботі та вдома проводять, перебуваючи в статичних позах. На жаль, існуючий рівень сформованості фізичної культури громадян України не сприяє виконанню завдання зміцн</w:t>
      </w:r>
      <w:r>
        <w:rPr>
          <w:rFonts w:ascii="Times New Roman" w:eastAsia="Times New Roman" w:hAnsi="Times New Roman" w:cs="Times New Roman"/>
          <w:sz w:val="28"/>
          <w:szCs w:val="28"/>
        </w:rPr>
        <w:t>ення та збереження фізичного здоров’я населення, яке, як відомо, є показником культурного, економічного, інтелектуального потенціалу держави [44]. Матеріали щорічної доповіді про стан здоров’я населення, санітарно-епідемічну ситуацію та результати діяльнос</w:t>
      </w:r>
      <w:r>
        <w:rPr>
          <w:rFonts w:ascii="Times New Roman" w:eastAsia="Times New Roman" w:hAnsi="Times New Roman" w:cs="Times New Roman"/>
          <w:sz w:val="28"/>
          <w:szCs w:val="28"/>
        </w:rPr>
        <w:t>ті системи охорони здоров’я України [44], свідчать, що в структурі поширеності хвороб серед дорослого населення перше та друге місця традиційно займають хвороби системи кровообігу (37,4 %), наступне – хвороби органів дихання (12,6 %). Відомо, що одним із г</w:t>
      </w:r>
      <w:r>
        <w:rPr>
          <w:rFonts w:ascii="Times New Roman" w:eastAsia="Times New Roman" w:hAnsi="Times New Roman" w:cs="Times New Roman"/>
          <w:sz w:val="28"/>
          <w:szCs w:val="28"/>
        </w:rPr>
        <w:t>оловних провокуючих факторів, який призводить до формування цих патологій, є гіподинамія – порушення функцій організму на тлі зниження рівня рухової активності людини [30, 50, 51, 60].</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Люди зрілого віку (29 – 39 років – (чоловіки) зрілий вік 1-й період; 29</w:t>
      </w:r>
      <w:r>
        <w:rPr>
          <w:rFonts w:ascii="Times New Roman" w:eastAsia="Times New Roman" w:hAnsi="Times New Roman" w:cs="Times New Roman"/>
          <w:sz w:val="28"/>
          <w:szCs w:val="28"/>
        </w:rPr>
        <w:t xml:space="preserve"> – 34 роки – (жінки) зрілий вік 1-й період; 40 – 60 років – (чоловіки) зрілий вік, 2-й період; 35 – 55 років – (жінки) зрілий вік 2-й період) – основний контингент населення, зайнятий продуктивною працею. Маючи великий запас знань, виробничий та життєвий д</w:t>
      </w:r>
      <w:r>
        <w:rPr>
          <w:rFonts w:ascii="Times New Roman" w:eastAsia="Times New Roman" w:hAnsi="Times New Roman" w:cs="Times New Roman"/>
          <w:sz w:val="28"/>
          <w:szCs w:val="28"/>
        </w:rPr>
        <w:t>освід, вони становлять цінність для суспільства. Саме в цьому віці, особливо після 40 років, значна частина населення страждає від серцево-судинних та інших захворювань [17].</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умови недостатньої рухової активності практично здорові люди скаржаться на: по</w:t>
      </w:r>
      <w:r>
        <w:rPr>
          <w:rFonts w:ascii="Times New Roman" w:eastAsia="Times New Roman" w:hAnsi="Times New Roman" w:cs="Times New Roman"/>
          <w:sz w:val="28"/>
          <w:szCs w:val="28"/>
        </w:rPr>
        <w:t>рушення дихання під час невеликих фізичних навантажень; зниження працездатності, перевтому; біль у серці; біль у спині, що є наслідком слабкості м’язів, котрі підтримують хребет; порушення сну; послаблення концентрації уваги, пасивність; підвищення нервово</w:t>
      </w:r>
      <w:r>
        <w:rPr>
          <w:rFonts w:ascii="Times New Roman" w:eastAsia="Times New Roman" w:hAnsi="Times New Roman" w:cs="Times New Roman"/>
          <w:sz w:val="28"/>
          <w:szCs w:val="28"/>
        </w:rPr>
        <w:t>-емоційної збудженості [11, 55].</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Довготривале зниження фізичної активності викликає подальші виразні та стійкі зрушення, які поступово стають незворотними. Наслідок цього – поява поширених у наш час так званих хвороб цивілізації – гіпертензія, атеросклероз</w:t>
      </w:r>
      <w:r>
        <w:rPr>
          <w:rFonts w:ascii="Times New Roman" w:eastAsia="Times New Roman" w:hAnsi="Times New Roman" w:cs="Times New Roman"/>
          <w:sz w:val="28"/>
          <w:szCs w:val="28"/>
        </w:rPr>
        <w:t xml:space="preserve">, ішемічна хвороба серця, інфаркт міокарду, захворювання судин ніг, порушення постави з ураженнями кістково-м’язового апарату [34].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 адаптації до фізичних навантажень поліпшується скорочувальна здатність міокарда, зменшується потреба в кисні, підв</w:t>
      </w:r>
      <w:r>
        <w:rPr>
          <w:rFonts w:ascii="Times New Roman" w:eastAsia="Times New Roman" w:hAnsi="Times New Roman" w:cs="Times New Roman"/>
          <w:sz w:val="28"/>
          <w:szCs w:val="28"/>
        </w:rPr>
        <w:t>ищується вміст глікогену, білка, активність ферментів, необхідних для інтенсивної і тривалої роботи серця. Результатом є економізація роботи та збільшення енергоресурсів. Основні фізіологічні показники у стані спокою тренованих людей перебувають на нижчому</w:t>
      </w:r>
      <w:r>
        <w:rPr>
          <w:rFonts w:ascii="Times New Roman" w:eastAsia="Times New Roman" w:hAnsi="Times New Roman" w:cs="Times New Roman"/>
          <w:sz w:val="28"/>
          <w:szCs w:val="28"/>
        </w:rPr>
        <w:t xml:space="preserve"> рівні, а максимальні можливості при роботі м’язів значно вищі, ніж у нетренованих [24].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умови систематичних занять фізичними вправами суттєво покращуються морфо-функціональні характеристики дихальної системи: розвиваються дихальні м’язи, збільшується </w:t>
      </w:r>
      <w:r>
        <w:rPr>
          <w:rFonts w:ascii="Times New Roman" w:eastAsia="Times New Roman" w:hAnsi="Times New Roman" w:cs="Times New Roman"/>
          <w:sz w:val="28"/>
          <w:szCs w:val="28"/>
        </w:rPr>
        <w:t>загальний об’єм легень, стають ефективніші функції дихання. Фізичні тренування позитивно впливають на обмін речовин, сприяють зменшенню холестерину, що має велике значення для профілактики серцево-судинних захворювань. Позитивні зміни спостерігаються і в д</w:t>
      </w:r>
      <w:r>
        <w:rPr>
          <w:rFonts w:ascii="Times New Roman" w:eastAsia="Times New Roman" w:hAnsi="Times New Roman" w:cs="Times New Roman"/>
          <w:sz w:val="28"/>
          <w:szCs w:val="28"/>
        </w:rPr>
        <w:t xml:space="preserve">іяльності опорно-руховому апарату: удосконалюється кровопостачання та нервова регуляція у м’язах, підвищується активність ферментів, які прискорюють аеробні та анаеробні реакції у м’язах, покращується функціональна здатність суглобів [49].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Раціональні фіз</w:t>
      </w:r>
      <w:r>
        <w:rPr>
          <w:rFonts w:ascii="Times New Roman" w:eastAsia="Times New Roman" w:hAnsi="Times New Roman" w:cs="Times New Roman"/>
          <w:sz w:val="28"/>
          <w:szCs w:val="28"/>
        </w:rPr>
        <w:t xml:space="preserve">ичні навантаження впливають і на функціональний стан регуляторних систем: нервової, ендокринної. У спортсменів збільшується рухливість та врівноваженість нервових процесів, знижується чутливість до стресів, поліпшуються функціональні можливості щитовидної </w:t>
      </w:r>
      <w:r>
        <w:rPr>
          <w:rFonts w:ascii="Times New Roman" w:eastAsia="Times New Roman" w:hAnsi="Times New Roman" w:cs="Times New Roman"/>
          <w:sz w:val="28"/>
          <w:szCs w:val="28"/>
        </w:rPr>
        <w:t>залози [24].</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кілька поглядів на визначення рухової норми активності для дорослих. Згідно з одним, доросла людина щодня повинна витрачати, крім основного обсягу на роботу м’язів мінімум 1200– 1500 ккал, що має забезпечити нормальне функціонування орга</w:t>
      </w:r>
      <w:r>
        <w:rPr>
          <w:rFonts w:ascii="Times New Roman" w:eastAsia="Times New Roman" w:hAnsi="Times New Roman" w:cs="Times New Roman"/>
          <w:sz w:val="28"/>
          <w:szCs w:val="28"/>
        </w:rPr>
        <w:t xml:space="preserve">нізму та необхідну </w:t>
      </w:r>
      <w:r>
        <w:rPr>
          <w:rFonts w:ascii="Times New Roman" w:eastAsia="Times New Roman" w:hAnsi="Times New Roman" w:cs="Times New Roman"/>
          <w:sz w:val="28"/>
          <w:szCs w:val="28"/>
        </w:rPr>
        <w:lastRenderedPageBreak/>
        <w:t xml:space="preserve">працездатність. На думку прихильників цього погляду, якщо фізична активність менша за норму, то виникатиме своєрідний дефіцит м’язової діяльності, який необхідно компенсувати за рахунок спеціально організованих занять фізичними вправами </w:t>
      </w:r>
      <w:r>
        <w:rPr>
          <w:rFonts w:ascii="Times New Roman" w:eastAsia="Times New Roman" w:hAnsi="Times New Roman" w:cs="Times New Roman"/>
          <w:sz w:val="28"/>
          <w:szCs w:val="28"/>
        </w:rPr>
        <w:t>[31].</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необхідного обсягу рухової активності з рівнем тренованості полягає в тому, що чим</w:t>
      </w:r>
      <w:r>
        <w:t xml:space="preserve"> </w:t>
      </w:r>
      <w:r>
        <w:rPr>
          <w:rFonts w:ascii="Times New Roman" w:eastAsia="Times New Roman" w:hAnsi="Times New Roman" w:cs="Times New Roman"/>
          <w:sz w:val="28"/>
          <w:szCs w:val="28"/>
        </w:rPr>
        <w:t xml:space="preserve">вищий рівень тренованості, тим більше зусиль необхідно докладати, щоб підтримувати його на досягнутому рівні. Оптимальними вважають такі дози навантажень, які </w:t>
      </w:r>
      <w:r>
        <w:rPr>
          <w:rFonts w:ascii="Times New Roman" w:eastAsia="Times New Roman" w:hAnsi="Times New Roman" w:cs="Times New Roman"/>
          <w:sz w:val="28"/>
          <w:szCs w:val="28"/>
        </w:rPr>
        <w:t>за мінімальної рухової активності і кратності занять фізичними вправами сприяють досягненню високого та стійкого оздоровчого ефекту занять, забезпечуючи раціональне використання вільного часу для всебічного розвитку особистості. Отже, норма рухової активно</w:t>
      </w:r>
      <w:r>
        <w:rPr>
          <w:rFonts w:ascii="Times New Roman" w:eastAsia="Times New Roman" w:hAnsi="Times New Roman" w:cs="Times New Roman"/>
          <w:sz w:val="28"/>
          <w:szCs w:val="28"/>
        </w:rPr>
        <w:t>сті повинна забезпечити збереження здоров’я. Критичний максимум, який має застерегти від надмірності тренувань і запобігає перенапруженню функціональних систем, мінімум рухової активності, котрий забезпечує адекватність фізичних навантажень організму є інд</w:t>
      </w:r>
      <w:r>
        <w:rPr>
          <w:rFonts w:ascii="Times New Roman" w:eastAsia="Times New Roman" w:hAnsi="Times New Roman" w:cs="Times New Roman"/>
          <w:sz w:val="28"/>
          <w:szCs w:val="28"/>
        </w:rPr>
        <w:t>ивідуальним [11].</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науковій літературі [59] подано інформацію щодо рекомендованого обсягу та інтенсивності фізичних навантажень для осіб зрілого віку (табл. 1.1).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рівня рухової активності населення у комплексі з іншими факторами здорового способу життя видається ефективним напрямом вирішення проблеми залучення широких верств населення до регулярних занять фізичними вправами та спортом на засадах так звано</w:t>
      </w:r>
      <w:r>
        <w:rPr>
          <w:rFonts w:ascii="Times New Roman" w:eastAsia="Times New Roman" w:hAnsi="Times New Roman" w:cs="Times New Roman"/>
          <w:sz w:val="28"/>
          <w:szCs w:val="28"/>
        </w:rPr>
        <w:t xml:space="preserve">го «масового спорту» чи «оздоровчої фізичної культури», які виконують важливу функцію, але не приводять до видимих соціальних результатів. Аналіз світового досвіду та результатів низки наукових досліджень переконує, що ефективним напрямом підвищення рівня </w:t>
      </w:r>
      <w:r>
        <w:rPr>
          <w:rFonts w:ascii="Times New Roman" w:eastAsia="Times New Roman" w:hAnsi="Times New Roman" w:cs="Times New Roman"/>
          <w:sz w:val="28"/>
          <w:szCs w:val="28"/>
        </w:rPr>
        <w:t>рухової активності різних груп населення в Україні може стати створення та впровадження у систему фізичного виховання молоді і дорослого населення різноманітних популярних програм оздоровчого, кондиційного та спортивного напрямів, як найбільш універсальног</w:t>
      </w:r>
      <w:r>
        <w:rPr>
          <w:rFonts w:ascii="Times New Roman" w:eastAsia="Times New Roman" w:hAnsi="Times New Roman" w:cs="Times New Roman"/>
          <w:sz w:val="28"/>
          <w:szCs w:val="28"/>
        </w:rPr>
        <w:t>о виду фізичних навантажень [40].</w:t>
      </w:r>
    </w:p>
    <w:p w:rsidR="000B2DA2" w:rsidRDefault="00253DD5">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Таблиця 1.1</w:t>
      </w:r>
      <w:r>
        <w:rPr>
          <w:rFonts w:ascii="Times New Roman" w:eastAsia="Times New Roman" w:hAnsi="Times New Roman" w:cs="Times New Roman"/>
          <w:sz w:val="28"/>
          <w:szCs w:val="28"/>
        </w:rPr>
        <w:t xml:space="preserve"> </w:t>
      </w: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Частота, інтенсивність, тривалість та тип фізичного навантаження (FITT – frequency, intensity, time, type) для осіб зрілого віку [59]</w:t>
      </w:r>
    </w:p>
    <w:tbl>
      <w:tblPr>
        <w:tblStyle w:val="af8"/>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8"/>
        <w:gridCol w:w="2549"/>
        <w:gridCol w:w="2268"/>
        <w:gridCol w:w="2409"/>
      </w:tblGrid>
      <w:tr w:rsidR="000B2DA2">
        <w:tc>
          <w:tcPr>
            <w:tcW w:w="2408"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w:t>
            </w:r>
          </w:p>
        </w:tc>
        <w:tc>
          <w:tcPr>
            <w:tcW w:w="2549"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Інтенсивність</w:t>
            </w:r>
          </w:p>
        </w:tc>
        <w:tc>
          <w:tcPr>
            <w:tcW w:w="2268"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w:t>
            </w:r>
          </w:p>
        </w:tc>
        <w:tc>
          <w:tcPr>
            <w:tcW w:w="2409" w:type="dxa"/>
          </w:tcPr>
          <w:p w:rsidR="000B2DA2" w:rsidRDefault="00253DD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Тип</w:t>
            </w:r>
          </w:p>
        </w:tc>
      </w:tr>
      <w:tr w:rsidR="000B2DA2">
        <w:tc>
          <w:tcPr>
            <w:tcW w:w="2408"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днів (принаймні 3 дні/тиждень;</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6-7 днів/тиждень для аеробних тренувань; </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рази/тиждень опір/силу</w:t>
            </w:r>
          </w:p>
        </w:tc>
        <w:tc>
          <w:tcPr>
            <w:tcW w:w="2549"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помірна </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помірно-жвава (енергійна безперервна) </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високоінтенсивна (інтервальна)</w:t>
            </w:r>
          </w:p>
        </w:tc>
        <w:tc>
          <w:tcPr>
            <w:tcW w:w="2268"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менше 20-30 хв (бажано 45-60 хв) </w:t>
            </w:r>
          </w:p>
        </w:tc>
        <w:tc>
          <w:tcPr>
            <w:tcW w:w="2409" w:type="dxa"/>
          </w:tcPr>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аеробні</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опір/сила </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гнучкість </w:t>
            </w:r>
          </w:p>
          <w:p w:rsidR="000B2DA2" w:rsidRDefault="00253DD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рівновага </w:t>
            </w:r>
          </w:p>
          <w:p w:rsidR="000B2DA2" w:rsidRDefault="000B2DA2">
            <w:pPr>
              <w:spacing w:line="360" w:lineRule="auto"/>
              <w:jc w:val="both"/>
              <w:rPr>
                <w:rFonts w:ascii="Times New Roman" w:eastAsia="Times New Roman" w:hAnsi="Times New Roman" w:cs="Times New Roman"/>
                <w:sz w:val="28"/>
                <w:szCs w:val="28"/>
              </w:rPr>
            </w:pPr>
          </w:p>
        </w:tc>
      </w:tr>
    </w:tbl>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Особливої актуальності означене положення набуває відносно осіб другого зрілого віку, адже зниження рухової активності, поява надлишкової маси тіла в поєднанні з іншими несприятливими факторами і шкідливими звичками у чоловіків та жінок зрілого віку призво</w:t>
      </w:r>
      <w:r>
        <w:rPr>
          <w:rFonts w:ascii="Times New Roman" w:eastAsia="Times New Roman" w:hAnsi="Times New Roman" w:cs="Times New Roman"/>
          <w:sz w:val="28"/>
          <w:szCs w:val="28"/>
        </w:rPr>
        <w:t>дять до зниження функціональної працездатності, збільшення ризику виникнення серцево-судинних захворювань. За даними дослідників, саме в осіб даної вікової категорії спостерігаються високі показники тимчасової втрати працездатності, обмеження фізичної та с</w:t>
      </w:r>
      <w:r>
        <w:rPr>
          <w:rFonts w:ascii="Times New Roman" w:eastAsia="Times New Roman" w:hAnsi="Times New Roman" w:cs="Times New Roman"/>
          <w:sz w:val="28"/>
          <w:szCs w:val="28"/>
        </w:rPr>
        <w:t>оціальної активності [4].</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Головне завдання оздоровчих тренувань у зрілому віці – збереження і зміцнення здоров’я, підтримка оптимальної життєдіяльності та високої працездатності впродовж основного періоду трудової діяльності. Фізична активність людини 1-го</w:t>
      </w:r>
      <w:r>
        <w:rPr>
          <w:rFonts w:ascii="Times New Roman" w:eastAsia="Times New Roman" w:hAnsi="Times New Roman" w:cs="Times New Roman"/>
          <w:sz w:val="28"/>
          <w:szCs w:val="28"/>
        </w:rPr>
        <w:t xml:space="preserve"> зрілого віку організовується з урахуванням характеру трудової діяльності, стану здоров’я і фізичної підготовленості, статі, умов побуту, інших показників. Обсяг фізичних навантажень визначається таким інтегральним показником, як рівень фізичного стану. Ни</w:t>
      </w:r>
      <w:r>
        <w:rPr>
          <w:rFonts w:ascii="Times New Roman" w:eastAsia="Times New Roman" w:hAnsi="Times New Roman" w:cs="Times New Roman"/>
          <w:sz w:val="28"/>
          <w:szCs w:val="28"/>
        </w:rPr>
        <w:t xml:space="preserve">зький і нижче середнього рівні навантаження повинні сприяти розвитку в організмі </w:t>
      </w:r>
      <w:r>
        <w:rPr>
          <w:rFonts w:ascii="Times New Roman" w:eastAsia="Times New Roman" w:hAnsi="Times New Roman" w:cs="Times New Roman"/>
          <w:sz w:val="28"/>
          <w:szCs w:val="28"/>
        </w:rPr>
        <w:lastRenderedPageBreak/>
        <w:t>прогресивних змін морфо-функціонального характеру, при високому – стабілізації досягнутого рівня розвитку [17].</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наукової літератури засвідчив, що залучення жінок та чол</w:t>
      </w:r>
      <w:r>
        <w:rPr>
          <w:rFonts w:ascii="Times New Roman" w:eastAsia="Times New Roman" w:hAnsi="Times New Roman" w:cs="Times New Roman"/>
          <w:sz w:val="28"/>
          <w:szCs w:val="28"/>
        </w:rPr>
        <w:t xml:space="preserve">овіків другого зрілого віку до фізкультурно-оздоровчих занять залежить від їх мотивації та інтересів, а також підбору засобів фізичного виховання, які мають високий оздоровчий ефект [20].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Мотиваційною складовою занять оздоровчою фізичною культурою для осі</w:t>
      </w:r>
      <w:r>
        <w:rPr>
          <w:rFonts w:ascii="Times New Roman" w:eastAsia="Times New Roman" w:hAnsi="Times New Roman" w:cs="Times New Roman"/>
          <w:sz w:val="28"/>
          <w:szCs w:val="28"/>
        </w:rPr>
        <w:t>б другого зрілого віку є: покращення стану здоров’я, підтримка фізичних кондицій, активний відпочинок, зниження зайвої ваги, спілкування із друзями [29].</w:t>
      </w:r>
    </w:p>
    <w:p w:rsidR="000B2DA2" w:rsidRDefault="000B2DA2">
      <w:pPr>
        <w:spacing w:after="0" w:line="360" w:lineRule="auto"/>
        <w:ind w:firstLine="709"/>
        <w:jc w:val="both"/>
        <w:rPr>
          <w:rFonts w:ascii="Times New Roman" w:eastAsia="Times New Roman" w:hAnsi="Times New Roman" w:cs="Times New Roman"/>
          <w:b/>
          <w:sz w:val="28"/>
          <w:szCs w:val="28"/>
        </w:rPr>
      </w:pP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w:t>
      </w:r>
      <w:r>
        <w:rPr>
          <w:rFonts w:ascii="Times New Roman" w:eastAsia="Times New Roman" w:hAnsi="Times New Roman" w:cs="Times New Roman"/>
          <w:b/>
          <w:sz w:val="28"/>
          <w:szCs w:val="28"/>
        </w:rPr>
        <w:tab/>
        <w:t>Сучасні підходи до побудови програм фізкультурно-оздоровчих занять для осіб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Першоче</w:t>
      </w:r>
      <w:r>
        <w:rPr>
          <w:rFonts w:ascii="Times New Roman" w:eastAsia="Times New Roman" w:hAnsi="Times New Roman" w:cs="Times New Roman"/>
          <w:sz w:val="28"/>
          <w:szCs w:val="28"/>
        </w:rPr>
        <w:t>рговими заходами у вирішенні завдань, котрі стосуються програмування оздоровчих занять з особами зрілого віку є заходи, спрямовані на формування мотивації до фізкультурно-оздоровчої діяльності, моніторинг показників морфо-функціонального стану та диференці</w:t>
      </w:r>
      <w:r>
        <w:rPr>
          <w:rFonts w:ascii="Times New Roman" w:eastAsia="Times New Roman" w:hAnsi="Times New Roman" w:cs="Times New Roman"/>
          <w:sz w:val="28"/>
          <w:szCs w:val="28"/>
        </w:rPr>
        <w:t xml:space="preserve">ація тих, хто займається, за рівнем фізичного стану [2, 18, 41].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 О. Гоглюватою [14] доведено, що для жінок із середнім та вищим за середній рівнями фізичного стану варто застосовувати програми занять переважно аеробної спрямованості, до складу яких вхо</w:t>
      </w:r>
      <w:r>
        <w:rPr>
          <w:rFonts w:ascii="Times New Roman" w:eastAsia="Times New Roman" w:hAnsi="Times New Roman" w:cs="Times New Roman"/>
          <w:sz w:val="28"/>
          <w:szCs w:val="28"/>
        </w:rPr>
        <w:t xml:space="preserve">дять вправи, під час виконання яких у роботу включаються великі м’язові групи, а для жінок із низьким і нижчим за середній рівнями фізичного стану – програми занять аеробної спрямованості середньої інтенсивності з переважанням силових вправ.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 О. Савитсь</w:t>
      </w:r>
      <w:r>
        <w:rPr>
          <w:rFonts w:ascii="Times New Roman" w:eastAsia="Times New Roman" w:hAnsi="Times New Roman" w:cs="Times New Roman"/>
          <w:sz w:val="28"/>
          <w:szCs w:val="28"/>
        </w:rPr>
        <w:t>ка [36] обґрунтовує підхід, згідно з яким під час занять оздоровчого характеру з жінками 25–35 років потрібно поступово збільшувати навантаження, зменшувати темп виконання вправ і кількість повторень та включати інтервали відпочинку з вправами на розслабле</w:t>
      </w:r>
      <w:r>
        <w:rPr>
          <w:rFonts w:ascii="Times New Roman" w:eastAsia="Times New Roman" w:hAnsi="Times New Roman" w:cs="Times New Roman"/>
          <w:sz w:val="28"/>
          <w:szCs w:val="28"/>
        </w:rPr>
        <w:t xml:space="preserve">ння, порівняно з </w:t>
      </w:r>
      <w:r>
        <w:rPr>
          <w:rFonts w:ascii="Times New Roman" w:eastAsia="Times New Roman" w:hAnsi="Times New Roman" w:cs="Times New Roman"/>
          <w:sz w:val="28"/>
          <w:szCs w:val="28"/>
        </w:rPr>
        <w:lastRenderedPageBreak/>
        <w:t xml:space="preserve">жінками до 25 років, а заняття зі старшими жінками варто проводити в помірному темпі серійно-поточним способом із паузами для відпочинку.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Акулова [1] на основі систематизації підходів до побудови профілактико-оздоровчих занять жінок другого зрілого віку, дійшла висновку, що, плануючи заняття з особами цієї категорії, потрібно враховувати показники фізичного розвитку, функціонального стану</w:t>
      </w:r>
      <w:r>
        <w:rPr>
          <w:rFonts w:ascii="Times New Roman" w:eastAsia="Times New Roman" w:hAnsi="Times New Roman" w:cs="Times New Roman"/>
          <w:sz w:val="28"/>
          <w:szCs w:val="28"/>
        </w:rPr>
        <w:t xml:space="preserve"> організму жінок, а серед засобів мають переважати засоби оздоровчого фітнесу, спрямовані на профілактику професійних і найбільш поширених захворювань.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Констатуючи позитивний вплив занять атлетичною гімнастикою в сучасних фізкультурно-оздоровчих закладах </w:t>
      </w:r>
      <w:r>
        <w:rPr>
          <w:rFonts w:ascii="Times New Roman" w:eastAsia="Times New Roman" w:hAnsi="Times New Roman" w:cs="Times New Roman"/>
          <w:sz w:val="28"/>
          <w:szCs w:val="28"/>
        </w:rPr>
        <w:t>на фізичний розвиток чоловіків першого зрілого віку, О. І. Тимочко [38] рекомендує застосовувати методики, які полягають у використанні тренування з додатковою допомогою, повільне пряме й зворотне тренування, а також тренування на тренажерах та з предметам</w:t>
      </w:r>
      <w:r>
        <w:rPr>
          <w:rFonts w:ascii="Times New Roman" w:eastAsia="Times New Roman" w:hAnsi="Times New Roman" w:cs="Times New Roman"/>
          <w:sz w:val="28"/>
          <w:szCs w:val="28"/>
        </w:rPr>
        <w:t xml:space="preserve">и, що забезпечують обтяження.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Досить розповсюдженим сьогодні є застосування фітнес-технологій у процесі оздоровчих занять, спрямованих на корекцію фізичного стану осіб зрілого віку. Дослідники чимало уваги приділяють обґрунтуванню та розробці авторських ф</w:t>
      </w:r>
      <w:r>
        <w:rPr>
          <w:rFonts w:ascii="Times New Roman" w:eastAsia="Times New Roman" w:hAnsi="Times New Roman" w:cs="Times New Roman"/>
          <w:sz w:val="28"/>
          <w:szCs w:val="28"/>
        </w:rPr>
        <w:t>ітнес-технологій. Так, О. В. Апайчевим [3] теоретично обґрунтовано та розроблено структуру та зміст програми занять оздоровчим фітнесом із використанням засобів «Outdoor activity» для чоловіків другого зрілого віку, спрямованої на корекцію їхнього фізичног</w:t>
      </w:r>
      <w:r>
        <w:rPr>
          <w:rFonts w:ascii="Times New Roman" w:eastAsia="Times New Roman" w:hAnsi="Times New Roman" w:cs="Times New Roman"/>
          <w:sz w:val="28"/>
          <w:szCs w:val="28"/>
        </w:rPr>
        <w:t>о стану, відмінними особливостями якої є врахування рівня рухової підготовленості, особливостей фізичного стану, спрямованості професійної діяльності, пріоритетів у виборі видів рухової активності. Визначено організаційно-методичні умови реалізації програм</w:t>
      </w:r>
      <w:r>
        <w:rPr>
          <w:rFonts w:ascii="Times New Roman" w:eastAsia="Times New Roman" w:hAnsi="Times New Roman" w:cs="Times New Roman"/>
          <w:sz w:val="28"/>
          <w:szCs w:val="28"/>
        </w:rPr>
        <w:t>и занять оздоровчим фітнесом із використанням засобів «Outdoor activity» з чоловіками другого зрілого віку, які сприяють корекції фізичного стану, підвищенню рухової активності, фізичної працездатності та забезпечують підвищення результативності професійно</w:t>
      </w:r>
      <w:r>
        <w:rPr>
          <w:rFonts w:ascii="Times New Roman" w:eastAsia="Times New Roman" w:hAnsi="Times New Roman" w:cs="Times New Roman"/>
          <w:sz w:val="28"/>
          <w:szCs w:val="28"/>
        </w:rPr>
        <w:t xml:space="preserve">ї діяльності.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Розглядаючи сучасні підходи до впровадження оздоровчого фітнесу для чоловіків другого зрілого віку, М. М. Килимистий [20] з’ясував, що </w:t>
      </w:r>
      <w:r>
        <w:rPr>
          <w:rFonts w:ascii="Times New Roman" w:eastAsia="Times New Roman" w:hAnsi="Times New Roman" w:cs="Times New Roman"/>
          <w:sz w:val="28"/>
          <w:szCs w:val="28"/>
        </w:rPr>
        <w:lastRenderedPageBreak/>
        <w:t>максимального ефекту та різностороннього впливу в процесі занять із чоловіками цієї категорії можна досягт</w:t>
      </w:r>
      <w:r>
        <w:rPr>
          <w:rFonts w:ascii="Times New Roman" w:eastAsia="Times New Roman" w:hAnsi="Times New Roman" w:cs="Times New Roman"/>
          <w:sz w:val="28"/>
          <w:szCs w:val="28"/>
        </w:rPr>
        <w:t xml:space="preserve">и за умови використання комбінованого підходу, який полягає в застосуванні різних видів оздоровчого фітнесу, серед яких – силовий фітнес, аеробіка, стретчинг, пілатес.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практиці занять оздоровчим фітнесом з особами зрілого віку спеціалісти [41] рекоменду</w:t>
      </w:r>
      <w:r>
        <w:rPr>
          <w:rFonts w:ascii="Times New Roman" w:eastAsia="Times New Roman" w:hAnsi="Times New Roman" w:cs="Times New Roman"/>
          <w:sz w:val="28"/>
          <w:szCs w:val="28"/>
        </w:rPr>
        <w:t>ють застосовувати сучасні інформаційні технології.</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Дослідники [54] наголошують, що в програмах оздоровчих тренувань головну увагу потрібно приділятися тренуванню серцево-судинної та дихальної систем для розвитку аеробних можливостей з урахуванням фізичного</w:t>
      </w:r>
      <w:r>
        <w:rPr>
          <w:rFonts w:ascii="Times New Roman" w:eastAsia="Times New Roman" w:hAnsi="Times New Roman" w:cs="Times New Roman"/>
          <w:sz w:val="28"/>
          <w:szCs w:val="28"/>
        </w:rPr>
        <w:t xml:space="preserve"> стану, стану здоров’я, включаючи оцінку факторів ризику розвитку серцево-судинних захворювань. Більшість вчених рекомендують використовувати в оздоровчих заняттях вправи переважно аеробної спрямованості, що залучають до роботи більшість м’язових груп. Дос</w:t>
      </w:r>
      <w:r>
        <w:rPr>
          <w:rFonts w:ascii="Times New Roman" w:eastAsia="Times New Roman" w:hAnsi="Times New Roman" w:cs="Times New Roman"/>
          <w:sz w:val="28"/>
          <w:szCs w:val="28"/>
        </w:rPr>
        <w:t>лідження, які показують високу ефективність таких занять для розвитку аеробних можливостей організму, зниження надмірної маси тіла, виникнення морфо-функціональних перебудов, підвищують резистентність організму до різних захворювань, свідчать на користь ць</w:t>
      </w:r>
      <w:r>
        <w:rPr>
          <w:rFonts w:ascii="Times New Roman" w:eastAsia="Times New Roman" w:hAnsi="Times New Roman" w:cs="Times New Roman"/>
          <w:sz w:val="28"/>
          <w:szCs w:val="28"/>
        </w:rPr>
        <w:t xml:space="preserve">ого судження.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Представлений у роботі О. Л. Благій [7] аналіз науково-методичної літератури щодо нормування навантаження в оздоровчих заняттях з особами зрілого віку свідчить, що наявні рекомендації суперечливі. Показано, що низькі рівні фізичної активност</w:t>
      </w:r>
      <w:r>
        <w:rPr>
          <w:rFonts w:ascii="Times New Roman" w:eastAsia="Times New Roman" w:hAnsi="Times New Roman" w:cs="Times New Roman"/>
          <w:sz w:val="28"/>
          <w:szCs w:val="28"/>
        </w:rPr>
        <w:t>і можуть знижувати ризик виникнення певних захворювань, однак для отримання тренувального ефекту, який виражається в підвищенні функціональних резервів організму, збільшення фізичної працездатності можуть бути недостатніми.</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Вирішальним фактором забезпеченн</w:t>
      </w:r>
      <w:r>
        <w:rPr>
          <w:rFonts w:ascii="Times New Roman" w:eastAsia="Times New Roman" w:hAnsi="Times New Roman" w:cs="Times New Roman"/>
          <w:sz w:val="28"/>
          <w:szCs w:val="28"/>
        </w:rPr>
        <w:t>я оптимального оздоровчого ефекту при використанні засобів фітнесу є відповідність величини навантажень функціональним можливостям організму. При цьому під час визначення дози навантаження враховують такі її параметри, як спрямованість, інтенсивність, трив</w:t>
      </w:r>
      <w:r>
        <w:rPr>
          <w:rFonts w:ascii="Times New Roman" w:eastAsia="Times New Roman" w:hAnsi="Times New Roman" w:cs="Times New Roman"/>
          <w:sz w:val="28"/>
          <w:szCs w:val="28"/>
        </w:rPr>
        <w:t xml:space="preserve">алість, систематичність. Щодо кратності занять можна вважати, що мінімальною її величиною, що забезпечує зростання фізичного стану, є </w:t>
      </w:r>
      <w:r>
        <w:rPr>
          <w:rFonts w:ascii="Times New Roman" w:eastAsia="Times New Roman" w:hAnsi="Times New Roman" w:cs="Times New Roman"/>
          <w:sz w:val="28"/>
          <w:szCs w:val="28"/>
        </w:rPr>
        <w:lastRenderedPageBreak/>
        <w:t xml:space="preserve">трикратні, для стабілізації та підтримки фізичного стану на належному рівні – двократні заняття в тиждень [30].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w:t>
      </w:r>
      <w:r>
        <w:rPr>
          <w:rFonts w:ascii="Times New Roman" w:eastAsia="Times New Roman" w:hAnsi="Times New Roman" w:cs="Times New Roman"/>
          <w:sz w:val="28"/>
          <w:szCs w:val="28"/>
        </w:rPr>
        <w:t>С. С. Довженко [17] головний принцип фітнес-тренувань в перший період зрілого віку – різноманітність засобів, які використовуються та невисока інтенсивність фізичних навантажень. Для збереження і зміцнення здоров’я рекомендуються циклічні вправи (біг, плав</w:t>
      </w:r>
      <w:r>
        <w:rPr>
          <w:rFonts w:ascii="Times New Roman" w:eastAsia="Times New Roman" w:hAnsi="Times New Roman" w:cs="Times New Roman"/>
          <w:sz w:val="28"/>
          <w:szCs w:val="28"/>
        </w:rPr>
        <w:t>ання, їзда на велосипеді, ходьба на лижах, веслування), оздоровчі види гімнастики, спортивні ігри. Оптимізація режимів фізичних навантажень досягається шляхом систематичної зміни видів фізичних вправ і досягнення тренувального ефекту при обмежених за обсяг</w:t>
      </w:r>
      <w:r>
        <w:rPr>
          <w:rFonts w:ascii="Times New Roman" w:eastAsia="Times New Roman" w:hAnsi="Times New Roman" w:cs="Times New Roman"/>
          <w:sz w:val="28"/>
          <w:szCs w:val="28"/>
        </w:rPr>
        <w:t>ом та інтенсивністю фізичних навантаженнях. У цьому віковому періоді рекомендується сезонна зміна видів фізичних вправ мінімум – два, максимум – чотири рази на рік. З особами першого зрілого віку, фітнес тренування необхідно проводити не більше трьох разів</w:t>
      </w:r>
      <w:r>
        <w:rPr>
          <w:rFonts w:ascii="Times New Roman" w:eastAsia="Times New Roman" w:hAnsi="Times New Roman" w:cs="Times New Roman"/>
          <w:sz w:val="28"/>
          <w:szCs w:val="28"/>
        </w:rPr>
        <w:t xml:space="preserve"> на тиждень з додатковим заняттям рекреаційного характеру. Тривалість фітнес занять вправами аеробного характеру залежить від їх інтенсивності (за показниками ЧСС). Так, при збільшенні частоти пульсу на 100 % порівняно з показниками у спокою, мінімальна тр</w:t>
      </w:r>
      <w:r>
        <w:rPr>
          <w:rFonts w:ascii="Times New Roman" w:eastAsia="Times New Roman" w:hAnsi="Times New Roman" w:cs="Times New Roman"/>
          <w:sz w:val="28"/>
          <w:szCs w:val="28"/>
        </w:rPr>
        <w:t>ивалість фізичних вправ повинна складати 10 хв, при збільшенні на 75 % – 20 хв, на 50 % – 45 хв та на 25 % – 90 хв. Разом з різноманітними формами фізичної активності в цей період життєвого циклу людини необхідно приділяти особливу увагу процедурам загарто</w:t>
      </w:r>
      <w:r>
        <w:rPr>
          <w:rFonts w:ascii="Times New Roman" w:eastAsia="Times New Roman" w:hAnsi="Times New Roman" w:cs="Times New Roman"/>
          <w:sz w:val="28"/>
          <w:szCs w:val="28"/>
        </w:rPr>
        <w:t>вування, психічної саморегуляції, масажу та іншим елементам здорового способу життя.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фізичних навантажень визначається таким інтегральним показником, як рівень фізичного стану. При низькому і нижче середнього рівнях навантаження повинні сприяти розви</w:t>
      </w:r>
      <w:r>
        <w:rPr>
          <w:rFonts w:ascii="Times New Roman" w:eastAsia="Times New Roman" w:hAnsi="Times New Roman" w:cs="Times New Roman"/>
          <w:sz w:val="28"/>
          <w:szCs w:val="28"/>
        </w:rPr>
        <w:t>тку в організмі прогресивних змін морфологічно-функціонального характеру, при високому – стабілізації досягнутого рівня розвитку [15].</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Вивчаючи особливості побудови програм фізкультурно-оздоровчих занять для осіб зрілого віку, Н. Москаленко, К. Пацалюк [30</w:t>
      </w:r>
      <w:r>
        <w:rPr>
          <w:rFonts w:ascii="Times New Roman" w:eastAsia="Times New Roman" w:hAnsi="Times New Roman" w:cs="Times New Roman"/>
          <w:sz w:val="28"/>
          <w:szCs w:val="28"/>
        </w:rPr>
        <w:t xml:space="preserve">] запропонували підходи до розробки програм занять із використанням засобів оздоровчого </w:t>
      </w:r>
      <w:r>
        <w:rPr>
          <w:rFonts w:ascii="Times New Roman" w:eastAsia="Times New Roman" w:hAnsi="Times New Roman" w:cs="Times New Roman"/>
          <w:sz w:val="28"/>
          <w:szCs w:val="28"/>
        </w:rPr>
        <w:lastRenderedPageBreak/>
        <w:t>фітнесу, що враховують особливості осіб зрілого віку. На думку науковців, першим етапом фізкультурно-оздоровчої діяльності з дорослим населенням є заходи щодо залучення</w:t>
      </w:r>
      <w:r>
        <w:rPr>
          <w:rFonts w:ascii="Times New Roman" w:eastAsia="Times New Roman" w:hAnsi="Times New Roman" w:cs="Times New Roman"/>
          <w:sz w:val="28"/>
          <w:szCs w:val="28"/>
        </w:rPr>
        <w:t xml:space="preserve"> осіб зрілого віку до занять оздоровчим фітнесом. Серед таких заходів особливу увагу слід звернути на пропаганду ідей здорового способу життя в засобах масової інформації, Інтернеті; рекламну діяльність; відкриття нових фітнес-центів; упровадження інноваці</w:t>
      </w:r>
      <w:r>
        <w:rPr>
          <w:rFonts w:ascii="Times New Roman" w:eastAsia="Times New Roman" w:hAnsi="Times New Roman" w:cs="Times New Roman"/>
          <w:sz w:val="28"/>
          <w:szCs w:val="28"/>
        </w:rPr>
        <w:t xml:space="preserve">йних видів рухової активності; залучення висококваліфікованих фахівців; використання інформаційних технологій; організацію занять у зручний час тощо (рис. 1.1). </w:t>
      </w:r>
    </w:p>
    <w:p w:rsidR="000B2DA2" w:rsidRDefault="00253DD5">
      <w:pPr>
        <w:spacing w:after="0" w:line="360" w:lineRule="auto"/>
        <w:ind w:firstLine="709"/>
        <w:jc w:val="both"/>
        <w:rPr>
          <w:rFonts w:ascii="Times New Roman" w:eastAsia="Times New Roman" w:hAnsi="Times New Roman" w:cs="Times New Roman"/>
          <w:sz w:val="28"/>
          <w:szCs w:val="28"/>
        </w:rPr>
      </w:pPr>
      <w:r>
        <w:rPr>
          <w:noProof/>
        </w:rPr>
        <w:drawing>
          <wp:inline distT="0" distB="0" distL="0" distR="0">
            <wp:extent cx="5109877" cy="6019088"/>
            <wp:effectExtent l="0" t="0" r="0" b="0"/>
            <wp:docPr id="5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l="36893" t="26589" r="38626" b="22145"/>
                    <a:stretch>
                      <a:fillRect/>
                    </a:stretch>
                  </pic:blipFill>
                  <pic:spPr>
                    <a:xfrm>
                      <a:off x="0" y="0"/>
                      <a:ext cx="5109877" cy="6019088"/>
                    </a:xfrm>
                    <a:prstGeom prst="rect">
                      <a:avLst/>
                    </a:prstGeom>
                    <a:ln/>
                  </pic:spPr>
                </pic:pic>
              </a:graphicData>
            </a:graphic>
          </wp:inline>
        </w:drawing>
      </w:r>
      <w:r>
        <w:rPr>
          <w:rFonts w:ascii="Times New Roman" w:eastAsia="Times New Roman" w:hAnsi="Times New Roman" w:cs="Times New Roman"/>
          <w:sz w:val="28"/>
          <w:szCs w:val="28"/>
        </w:rPr>
        <w:t xml:space="preserve"> </w:t>
      </w:r>
    </w:p>
    <w:p w:rsidR="000B2DA2" w:rsidRDefault="00253DD5">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 Алгоритм фізичного виховання осіб зрілого віку засобами фітнесу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Авторами [30] представлено декілька варіантів занять: 1 – передбачає переважне використання вправ циклічного характеру, 2 – застосування вправ силового та швидкісно-силового характеру, у 3 – комплексний підхід, який передбачає використання різноманітних вп</w:t>
      </w:r>
      <w:r>
        <w:rPr>
          <w:rFonts w:ascii="Times New Roman" w:eastAsia="Times New Roman" w:hAnsi="Times New Roman" w:cs="Times New Roman"/>
          <w:sz w:val="28"/>
          <w:szCs w:val="28"/>
        </w:rPr>
        <w:t>рав: ходьби, бігу, плавання, ігор, гімнастичних вправ з обтяженнями й без них, на тренажерах тощо. Для збільшення обсягу рухової активності, отримання задоволення від активного відпочинку, профілактики захворювань найбільш ефективні циклічні вправи низької</w:t>
      </w:r>
      <w:r>
        <w:rPr>
          <w:rFonts w:ascii="Times New Roman" w:eastAsia="Times New Roman" w:hAnsi="Times New Roman" w:cs="Times New Roman"/>
          <w:sz w:val="28"/>
          <w:szCs w:val="28"/>
        </w:rPr>
        <w:t xml:space="preserve"> або помірної інтенсивності (аеробної спрямованості), тобто такі навантаження, при яких задіяно понад 2/3 м’язового масиву і які можна продовжувати протягом тривалого часу.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дослідників вважають, що в програмах з оздоровчих тренувань головну уваг</w:t>
      </w:r>
      <w:r>
        <w:rPr>
          <w:rFonts w:ascii="Times New Roman" w:eastAsia="Times New Roman" w:hAnsi="Times New Roman" w:cs="Times New Roman"/>
          <w:sz w:val="28"/>
          <w:szCs w:val="28"/>
        </w:rPr>
        <w:t>у потрібно приділяти поліпшенню діяльності серцево-судинної та рухової систем із метою визначення аеробних можливостей, для чого рекомендуються такі циклічні вправи, як ходьба, біг, їзда на велосипеді, веслування, котрі здатні втягувати у роботу значну час</w:t>
      </w:r>
      <w:r>
        <w:rPr>
          <w:rFonts w:ascii="Times New Roman" w:eastAsia="Times New Roman" w:hAnsi="Times New Roman" w:cs="Times New Roman"/>
          <w:sz w:val="28"/>
          <w:szCs w:val="28"/>
        </w:rPr>
        <w:t>тину м’язового масиву [3].</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осіб віком 40 – 60 років, за умови систематичних занять помітний тренувальний ефект простежується вже через 8 тижнів занять. Однак, його формування в людей, старших 40 років, досягається за допомогою якісно інших, ніж у молодих</w:t>
      </w:r>
      <w:r>
        <w:rPr>
          <w:rFonts w:ascii="Times New Roman" w:eastAsia="Times New Roman" w:hAnsi="Times New Roman" w:cs="Times New Roman"/>
          <w:sz w:val="28"/>
          <w:szCs w:val="28"/>
        </w:rPr>
        <w:t xml:space="preserve"> людей, механізмів регуляції функцій. Встановлено, неоднаковий характер і щільність зв’язку між рівнем фізичної працездатності та фізичними якостями в осіб різного віку: якщо в осіб 20 – 39 років значний зв’язок фізичної працездатності простежується лише і</w:t>
      </w:r>
      <w:r>
        <w:rPr>
          <w:rFonts w:ascii="Times New Roman" w:eastAsia="Times New Roman" w:hAnsi="Times New Roman" w:cs="Times New Roman"/>
          <w:sz w:val="28"/>
          <w:szCs w:val="28"/>
        </w:rPr>
        <w:t>з загальною і швидкісною витривалістю, то після 40 років – з усіма руховими якостями. Це вимагає диференційованого підходу до вибору спрямованості фізичних вправ залежно від віку та рівня фізичного стану [47].</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С. Пензая [33] до найбільш ефективних</w:t>
      </w:r>
      <w:r>
        <w:rPr>
          <w:rFonts w:ascii="Times New Roman" w:eastAsia="Times New Roman" w:hAnsi="Times New Roman" w:cs="Times New Roman"/>
          <w:sz w:val="28"/>
          <w:szCs w:val="28"/>
        </w:rPr>
        <w:t xml:space="preserve"> підходів в системі фізичного виховання для осіб другого зрілого віку є профілактико-оздоровчих з оздоровчі заняття фітнесу з використанням індивідуального підходу для підвищення роботоздатності та зменшення захворюваності. Найбільш </w:t>
      </w:r>
      <w:r>
        <w:rPr>
          <w:rFonts w:ascii="Times New Roman" w:eastAsia="Times New Roman" w:hAnsi="Times New Roman" w:cs="Times New Roman"/>
          <w:sz w:val="28"/>
          <w:szCs w:val="28"/>
        </w:rPr>
        <w:lastRenderedPageBreak/>
        <w:t>ефективним підходом для</w:t>
      </w:r>
      <w:r>
        <w:rPr>
          <w:rFonts w:ascii="Times New Roman" w:eastAsia="Times New Roman" w:hAnsi="Times New Roman" w:cs="Times New Roman"/>
          <w:sz w:val="28"/>
          <w:szCs w:val="28"/>
        </w:rPr>
        <w:t xml:space="preserve"> осіб другого зрілого віку є тренувальні програми, які підвищують розумову і фізичну роботоздатність і сприяють профілактиці захворювань. Для вирішення вищезазначених завдань раціонально використовувати заняття з оздоровчого плавання.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Оздоровчо-рекреаційні</w:t>
      </w:r>
      <w:r>
        <w:rPr>
          <w:rFonts w:ascii="Times New Roman" w:eastAsia="Times New Roman" w:hAnsi="Times New Roman" w:cs="Times New Roman"/>
          <w:sz w:val="28"/>
          <w:szCs w:val="28"/>
        </w:rPr>
        <w:t xml:space="preserve"> заняття з елементами плавання відрізняються однією найголовнішою рисою: в них для оздоровлення використовується водне середовище, в якому діяльність людського організму має свої особливості. Основними фізичними якостями водного середовища є в’язкість, щіл</w:t>
      </w:r>
      <w:r>
        <w:rPr>
          <w:rFonts w:ascii="Times New Roman" w:eastAsia="Times New Roman" w:hAnsi="Times New Roman" w:cs="Times New Roman"/>
          <w:sz w:val="28"/>
          <w:szCs w:val="28"/>
        </w:rPr>
        <w:t xml:space="preserve">ьність, тиск, температура, теплоємність. Корисні впливи плавання на здоров’я людини дуже значні. Заняття різними елементами плавання допомагають підтримувати всі групи м’язів у тонусі, чому допомагає сила опору води [29].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Характеристики води дають змогу </w:t>
      </w:r>
      <w:r>
        <w:rPr>
          <w:rFonts w:ascii="Times New Roman" w:eastAsia="Times New Roman" w:hAnsi="Times New Roman" w:cs="Times New Roman"/>
          <w:sz w:val="28"/>
          <w:szCs w:val="28"/>
        </w:rPr>
        <w:t>повноцінно тренуватися, без надмірного і шкідливого навантаження на організм людини: вода зменшує компресійний вплив на суглоби, а «опір» водного середовища при виконанні вправ сприятливо впливає на м’язи. Під час плавальних вправ задіяні м’язи практично в</w:t>
      </w:r>
      <w:r>
        <w:rPr>
          <w:rFonts w:ascii="Times New Roman" w:eastAsia="Times New Roman" w:hAnsi="Times New Roman" w:cs="Times New Roman"/>
          <w:sz w:val="28"/>
          <w:szCs w:val="28"/>
        </w:rPr>
        <w:t xml:space="preserve">сіх ділянок тіла: спини, передпліччя і плечей, стегон, литок, шиї; плавання сприяє зміцненню серцевого м’яза, стінок судин. Також тренуються легені і вся дихальна система; під час плавання і водних занять щільне середовище надає м’який тиск на тіло і, тим </w:t>
      </w:r>
      <w:r>
        <w:rPr>
          <w:rFonts w:ascii="Times New Roman" w:eastAsia="Times New Roman" w:hAnsi="Times New Roman" w:cs="Times New Roman"/>
          <w:sz w:val="28"/>
          <w:szCs w:val="28"/>
        </w:rPr>
        <w:t xml:space="preserve">самим, масажує шкіру і органи; водні процедури завжди розслаблюють і «підживлюють» людину позитивною енергією [29].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дослідження Н. М. Баламутова, Л. В. Шейко [6] було визначення впливу методики застосування засобів плавання на фізичний стан та здоро</w:t>
      </w:r>
      <w:r>
        <w:rPr>
          <w:rFonts w:ascii="Times New Roman" w:eastAsia="Times New Roman" w:hAnsi="Times New Roman" w:cs="Times New Roman"/>
          <w:sz w:val="28"/>
          <w:szCs w:val="28"/>
        </w:rPr>
        <w:t>в’я жінок другого зрілого віку під час оздоровчих занять. Дослідники [45, 46] зазначають, що розробка програм оздоровчого плавання надасть можливість тренерам застосовувати різноманітні комплекси вправ, впроваджувати індивідуальний підхід для кожної особи,</w:t>
      </w:r>
      <w:r>
        <w:rPr>
          <w:rFonts w:ascii="Times New Roman" w:eastAsia="Times New Roman" w:hAnsi="Times New Roman" w:cs="Times New Roman"/>
          <w:sz w:val="28"/>
          <w:szCs w:val="28"/>
        </w:rPr>
        <w:t xml:space="preserve"> яка прийшла на заняття оздоровчим плаванням.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 Гамора [12] займалась вивченням перспектив оптимізації фізичного виховання жінок зрілого віку із використанням засобів ментального фітнесу. Авторкою здійснено аналіз можливостей розробки програм занять мент</w:t>
      </w:r>
      <w:r>
        <w:rPr>
          <w:rFonts w:ascii="Times New Roman" w:eastAsia="Times New Roman" w:hAnsi="Times New Roman" w:cs="Times New Roman"/>
          <w:sz w:val="28"/>
          <w:szCs w:val="28"/>
        </w:rPr>
        <w:t xml:space="preserve">альним фітнесом для жінок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 Благій, О. Андрєєвою [8] на основі урахування мотиваційних пріоритетів, показників психоемоційного та фізичного стану чоловіків розроблено комплексну фітнес-програму, завданнями якої було підвищення показників фі</w:t>
      </w:r>
      <w:r>
        <w:rPr>
          <w:rFonts w:ascii="Times New Roman" w:eastAsia="Times New Roman" w:hAnsi="Times New Roman" w:cs="Times New Roman"/>
          <w:sz w:val="28"/>
          <w:szCs w:val="28"/>
        </w:rPr>
        <w:t>зичного стану, зменшення психоемоційного напруження, покращення розумової працездатності, сприяння формуванню ціннісних орієнтацій на ведення здорового способу життя і заняття руховою активністю. Для вирішення поставлених завдань ними було відібрано засоби</w:t>
      </w:r>
      <w:r>
        <w:rPr>
          <w:rFonts w:ascii="Times New Roman" w:eastAsia="Times New Roman" w:hAnsi="Times New Roman" w:cs="Times New Roman"/>
          <w:sz w:val="28"/>
          <w:szCs w:val="28"/>
        </w:rPr>
        <w:t xml:space="preserve"> скандинавської ходьби та силового тренування з використанням тренажеру TRX. Розроблену програму впроваджено в режим дня чоловіків, які займаються напруженою розумовою працею. Отримані дані свідчать про тенденцію до збільшення обсягу рухової активності чол</w:t>
      </w:r>
      <w:r>
        <w:rPr>
          <w:rFonts w:ascii="Times New Roman" w:eastAsia="Times New Roman" w:hAnsi="Times New Roman" w:cs="Times New Roman"/>
          <w:sz w:val="28"/>
          <w:szCs w:val="28"/>
        </w:rPr>
        <w:t xml:space="preserve">овіків як у робочі, так і у вихідні дні.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Г. Бойко, В. Волошко [9] представлено результати дослідження застосування функціонального тренування на свіжому повітрі з використанням TRX в системі оздоровчо-рекреаційних занять з жінками другого періоду</w:t>
      </w:r>
      <w:r>
        <w:rPr>
          <w:rFonts w:ascii="Times New Roman" w:eastAsia="Times New Roman" w:hAnsi="Times New Roman" w:cs="Times New Roman"/>
          <w:sz w:val="28"/>
          <w:szCs w:val="28"/>
        </w:rPr>
        <w:t xml:space="preserve"> зрілого віку. Загальна тривалість занять на свіжому повітрі становила 90 хв, з них на вправи на TRX відводилось 20 хв в основній частині заняття. За сприятливих погодних умов у весняно-літній період та на початку осені комплекс функціональних тренувань на</w:t>
      </w:r>
      <w:r>
        <w:rPr>
          <w:rFonts w:ascii="Times New Roman" w:eastAsia="Times New Roman" w:hAnsi="Times New Roman" w:cs="Times New Roman"/>
          <w:sz w:val="28"/>
          <w:szCs w:val="28"/>
        </w:rPr>
        <w:t xml:space="preserve"> TRX проводиться на спортивному майданчику, розташованому в парковій зоні. Включення занять бігом до програми оздоровчо-рекреаційних занять зумовлене мотивацією жінок зрілого віку та загальною позитивною дією бігу на організм, що пов’язано зі зміною функці</w:t>
      </w:r>
      <w:r>
        <w:rPr>
          <w:rFonts w:ascii="Times New Roman" w:eastAsia="Times New Roman" w:hAnsi="Times New Roman" w:cs="Times New Roman"/>
          <w:sz w:val="28"/>
          <w:szCs w:val="28"/>
        </w:rPr>
        <w:t xml:space="preserve">онального стану центральної нервової системи, компенсацією дефіциту енергії, функціональними змінами кровообігу та зниженням захворюваності. Доведено, що розроблена методика функціонального тренування з використанням TRX на свіжому повітрі, яка </w:t>
      </w:r>
      <w:r>
        <w:rPr>
          <w:rFonts w:ascii="Times New Roman" w:eastAsia="Times New Roman" w:hAnsi="Times New Roman" w:cs="Times New Roman"/>
          <w:sz w:val="28"/>
          <w:szCs w:val="28"/>
        </w:rPr>
        <w:lastRenderedPageBreak/>
        <w:t>поєднується</w:t>
      </w:r>
      <w:r>
        <w:rPr>
          <w:rFonts w:ascii="Times New Roman" w:eastAsia="Times New Roman" w:hAnsi="Times New Roman" w:cs="Times New Roman"/>
          <w:sz w:val="28"/>
          <w:szCs w:val="28"/>
        </w:rPr>
        <w:t xml:space="preserve"> з оздоровчим бігом, є безпечною та ефективною, забезпечує позитивну динаміку показників фізичного стану та адаптаційного потенціалу жінок другого періоду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 Я. Бондарчук, В. Г. Тулайдан, О. І. Тимочко [10] досліджували особливості застосува</w:t>
      </w:r>
      <w:r>
        <w:rPr>
          <w:rFonts w:ascii="Times New Roman" w:eastAsia="Times New Roman" w:hAnsi="Times New Roman" w:cs="Times New Roman"/>
          <w:sz w:val="28"/>
          <w:szCs w:val="28"/>
        </w:rPr>
        <w:t xml:space="preserve">ння диференційованого підходу під час розробки програм занять оздоровчою ходьбою для осіб другого періоду зрілого віку. На думку вчених, під час розробки програм варто керуватися такими критеріями, за якими всередині даної соціальної групи спостерігаються </w:t>
      </w:r>
      <w:r>
        <w:rPr>
          <w:rFonts w:ascii="Times New Roman" w:eastAsia="Times New Roman" w:hAnsi="Times New Roman" w:cs="Times New Roman"/>
          <w:sz w:val="28"/>
          <w:szCs w:val="28"/>
        </w:rPr>
        <w:t>найбільші відмінності, а саме – враховувати індивідуальні (стан здоров’я і наявність або відсутність захворювань, індивідуально-соматичні особливості організму) та соціальні чинники. Програми розраховані на здорових осіб другого періоду зрілого віку для зд</w:t>
      </w:r>
      <w:r>
        <w:rPr>
          <w:rFonts w:ascii="Times New Roman" w:eastAsia="Times New Roman" w:hAnsi="Times New Roman" w:cs="Times New Roman"/>
          <w:sz w:val="28"/>
          <w:szCs w:val="28"/>
        </w:rPr>
        <w:t xml:space="preserve">орових осіб; осіб з надлишковою масою тіла; осіб з легким ризиком розвитку серцево-судинних захворювань.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 В. Щур [48] досліджувала вплив оздоровчої ходьби як засобу кондиційного тренування жінок другого періоду зрілого віку. Нею встановлено, що оздоровч</w:t>
      </w:r>
      <w:r>
        <w:rPr>
          <w:rFonts w:ascii="Times New Roman" w:eastAsia="Times New Roman" w:hAnsi="Times New Roman" w:cs="Times New Roman"/>
          <w:sz w:val="28"/>
          <w:szCs w:val="28"/>
        </w:rPr>
        <w:t xml:space="preserve">а ходьба має ряд переваг над іншими видами рухової активності. Результати дослідження засвідчили ряд позитивних змін, які проявлялися у покращенні самопочуття, розумової та фізичної працездатності жінок.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 Футорний, С. Калитка, Н. Мацкевич, О. Рода, В. М</w:t>
      </w:r>
      <w:r>
        <w:rPr>
          <w:rFonts w:ascii="Times New Roman" w:eastAsia="Times New Roman" w:hAnsi="Times New Roman" w:cs="Times New Roman"/>
          <w:sz w:val="28"/>
          <w:szCs w:val="28"/>
        </w:rPr>
        <w:t xml:space="preserve">ихалевський [42] розробили програму занять оздоровчою ходьбою та визначили її вплив на показники фізичного стану чоловіків другого періоду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наукової літератури та результати власних досліджень дали змогу В. Е. Цизман [43] розробити озд</w:t>
      </w:r>
      <w:r>
        <w:rPr>
          <w:rFonts w:ascii="Times New Roman" w:eastAsia="Times New Roman" w:hAnsi="Times New Roman" w:cs="Times New Roman"/>
          <w:sz w:val="28"/>
          <w:szCs w:val="28"/>
        </w:rPr>
        <w:t>оровчо-рекреаційну програму корекції психоемоційного стану жінок другого зрілого віку (працівників соціономічних професій), яка є профілактичним засобом відновлення та підтримання ресурсів організму, а також однією з дієвих форм організації дозвілля. Прогр</w:t>
      </w:r>
      <w:r>
        <w:rPr>
          <w:rFonts w:ascii="Times New Roman" w:eastAsia="Times New Roman" w:hAnsi="Times New Roman" w:cs="Times New Roman"/>
          <w:sz w:val="28"/>
          <w:szCs w:val="28"/>
        </w:rPr>
        <w:t xml:space="preserve">ама має системний характер та враховує вікові особливості фізичного здоров’я, а також спрямована на відновлення психоемоційного стану жінок другого зрілого віку, гармонізацію «тіла, розуму та духу». Розроблена програма </w:t>
      </w:r>
      <w:r>
        <w:rPr>
          <w:rFonts w:ascii="Times New Roman" w:eastAsia="Times New Roman" w:hAnsi="Times New Roman" w:cs="Times New Roman"/>
          <w:sz w:val="28"/>
          <w:szCs w:val="28"/>
        </w:rPr>
        <w:lastRenderedPageBreak/>
        <w:t>включає такі основні напрями: заняття</w:t>
      </w:r>
      <w:r>
        <w:rPr>
          <w:rFonts w:ascii="Times New Roman" w:eastAsia="Times New Roman" w:hAnsi="Times New Roman" w:cs="Times New Roman"/>
          <w:sz w:val="28"/>
          <w:szCs w:val="28"/>
        </w:rPr>
        <w:t xml:space="preserve"> скандинавською ходьбою, СПА-процедури та різновиди масажних технік.</w:t>
      </w: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1</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ритм життя, підвищений рівень психофізичних навантажень, малорухливий спосіб життя є причинами зростання захворюваності, зниження якості та тривалості життя осіб зрілого віку. Здоров’язбереження найбільш діяльної частини населення країни є важливи</w:t>
      </w:r>
      <w:r>
        <w:rPr>
          <w:rFonts w:ascii="Times New Roman" w:eastAsia="Times New Roman" w:hAnsi="Times New Roman" w:cs="Times New Roman"/>
          <w:sz w:val="28"/>
          <w:szCs w:val="28"/>
        </w:rPr>
        <w:t>м стратегічним завданням, котре потребує пошуку науково-обґрунтованих заходів, спрямованих на докорінну зміну ситуації, яка склалася. Протистояти факторам ризику здоров’я осіб другого періоду зрілого віку покликана організована фізкультурно-оздоровча діяль</w:t>
      </w:r>
      <w:r>
        <w:rPr>
          <w:rFonts w:ascii="Times New Roman" w:eastAsia="Times New Roman" w:hAnsi="Times New Roman" w:cs="Times New Roman"/>
          <w:sz w:val="28"/>
          <w:szCs w:val="28"/>
        </w:rPr>
        <w:t>ність, котра сприяє розширенню функціональних можливостей, поліпшенню показників рівня розвитку фізичних якостей, а також організації змістовного дозвілля.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Беззаперечним є інтерес науковців до питань, котрі стосуються залучення дорослого населення до занят</w:t>
      </w:r>
      <w:r>
        <w:rPr>
          <w:rFonts w:ascii="Times New Roman" w:eastAsia="Times New Roman" w:hAnsi="Times New Roman" w:cs="Times New Roman"/>
          <w:sz w:val="28"/>
          <w:szCs w:val="28"/>
        </w:rPr>
        <w:t>ь спеціально організованою руховою активністю. Наукові роботи присвячені розробці змісту та структури технології фізкультурно-оздоровчих занять з урахуванням індивідуальних особливостей просторової організації тіла, визначенню ефективності функціональних т</w:t>
      </w:r>
      <w:r>
        <w:rPr>
          <w:rFonts w:ascii="Times New Roman" w:eastAsia="Times New Roman" w:hAnsi="Times New Roman" w:cs="Times New Roman"/>
          <w:sz w:val="28"/>
          <w:szCs w:val="28"/>
        </w:rPr>
        <w:t xml:space="preserve">ренувань на свіжому повітрі з використанням TRX в системі оздоровчо-рекреаційних занять осіб другого зрілого віку, вивченню застосування диференційованого підходу при розробці програм занять оздоровчою ходьбою для осіб другого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Досить фрагмен</w:t>
      </w:r>
      <w:r>
        <w:rPr>
          <w:rFonts w:ascii="Times New Roman" w:eastAsia="Times New Roman" w:hAnsi="Times New Roman" w:cs="Times New Roman"/>
          <w:sz w:val="28"/>
          <w:szCs w:val="28"/>
        </w:rPr>
        <w:t xml:space="preserve">тарно представлено дані щодо можливостей використання засобів спортивних танців у процесі організації фізкультурно-оздоровчих занять з особами зрілого віку, що вказує на актуальність вивчення означеного питання. </w:t>
      </w:r>
    </w:p>
    <w:p w:rsidR="000B2DA2" w:rsidRDefault="000B2DA2">
      <w:pPr>
        <w:spacing w:after="0" w:line="360" w:lineRule="auto"/>
        <w:ind w:firstLine="709"/>
        <w:jc w:val="both"/>
        <w:rPr>
          <w:rFonts w:ascii="Times New Roman" w:eastAsia="Times New Roman" w:hAnsi="Times New Roman" w:cs="Times New Roman"/>
          <w:b/>
          <w:sz w:val="28"/>
          <w:szCs w:val="28"/>
        </w:rPr>
      </w:pPr>
    </w:p>
    <w:p w:rsidR="000B2DA2" w:rsidRDefault="00253DD5">
      <w:pPr>
        <w:spacing w:after="0" w:line="360" w:lineRule="auto"/>
        <w:ind w:left="1429"/>
        <w:jc w:val="center"/>
        <w:rPr>
          <w:rFonts w:ascii="Times New Roman" w:eastAsia="Times New Roman" w:hAnsi="Times New Roman" w:cs="Times New Roman"/>
          <w:b/>
          <w:sz w:val="28"/>
          <w:szCs w:val="28"/>
        </w:rPr>
      </w:pPr>
      <w:r>
        <w:br w:type="column"/>
      </w:r>
      <w:r>
        <w:rPr>
          <w:rFonts w:ascii="Times New Roman" w:eastAsia="Times New Roman" w:hAnsi="Times New Roman" w:cs="Times New Roman"/>
          <w:b/>
          <w:sz w:val="28"/>
          <w:szCs w:val="28"/>
        </w:rPr>
        <w:lastRenderedPageBreak/>
        <w:t>РОЗДІЛ 2</w:t>
      </w:r>
    </w:p>
    <w:p w:rsidR="000B2DA2" w:rsidRDefault="00253DD5">
      <w:pPr>
        <w:spacing w:after="0" w:line="360" w:lineRule="auto"/>
        <w:ind w:left="142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 ТА ОРГАНІЗАЦІЯ ДОСЛІДЖЕНН</w:t>
      </w:r>
      <w:r>
        <w:rPr>
          <w:rFonts w:ascii="Times New Roman" w:eastAsia="Times New Roman" w:hAnsi="Times New Roman" w:cs="Times New Roman"/>
          <w:b/>
          <w:sz w:val="28"/>
          <w:szCs w:val="28"/>
        </w:rPr>
        <w:t>Я</w:t>
      </w:r>
    </w:p>
    <w:p w:rsidR="000B2DA2" w:rsidRDefault="000B2DA2">
      <w:pPr>
        <w:spacing w:after="0" w:line="360" w:lineRule="auto"/>
        <w:ind w:left="1429"/>
        <w:jc w:val="center"/>
        <w:rPr>
          <w:rFonts w:ascii="Times New Roman" w:eastAsia="Times New Roman" w:hAnsi="Times New Roman" w:cs="Times New Roman"/>
          <w:b/>
          <w:sz w:val="28"/>
          <w:szCs w:val="28"/>
        </w:rPr>
      </w:pPr>
    </w:p>
    <w:p w:rsidR="000B2DA2" w:rsidRDefault="000B2DA2">
      <w:pPr>
        <w:spacing w:after="0" w:line="360" w:lineRule="auto"/>
        <w:ind w:left="1429"/>
        <w:jc w:val="center"/>
        <w:rPr>
          <w:rFonts w:ascii="Times New Roman" w:eastAsia="Times New Roman" w:hAnsi="Times New Roman" w:cs="Times New Roman"/>
          <w:b/>
          <w:sz w:val="28"/>
          <w:szCs w:val="28"/>
        </w:rPr>
      </w:pP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w:t>
      </w:r>
      <w:r>
        <w:rPr>
          <w:rFonts w:ascii="Times New Roman" w:eastAsia="Times New Roman" w:hAnsi="Times New Roman" w:cs="Times New Roman"/>
          <w:b/>
          <w:sz w:val="28"/>
          <w:szCs w:val="28"/>
        </w:rPr>
        <w:tab/>
        <w:t>Методи дослідження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Вирішення поставлених у роботі завдань передбачало послідовне використання ряду взаємопов’язаних методів:</w:t>
      </w:r>
    </w:p>
    <w:p w:rsidR="000B2DA2" w:rsidRDefault="00253DD5">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теоретичний аналіз і узагальнення даних науково-методичної літератури</w:t>
      </w:r>
    </w:p>
    <w:p w:rsidR="000B2DA2" w:rsidRDefault="00253DD5">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антропометричні методи дослідження</w:t>
      </w:r>
    </w:p>
    <w:p w:rsidR="000B2DA2" w:rsidRDefault="00253DD5">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фізіологічні методи дослідження</w:t>
      </w:r>
    </w:p>
    <w:p w:rsidR="000B2DA2" w:rsidRDefault="00253DD5">
      <w:pPr>
        <w:numPr>
          <w:ilvl w:val="0"/>
          <w:numId w:val="5"/>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психодіагностичні методи дослідження </w:t>
      </w:r>
    </w:p>
    <w:p w:rsidR="000B2DA2" w:rsidRDefault="00253DD5">
      <w:pPr>
        <w:numPr>
          <w:ilvl w:val="0"/>
          <w:numId w:val="5"/>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педагогічні методи дослідження</w:t>
      </w:r>
    </w:p>
    <w:p w:rsidR="000B2DA2" w:rsidRDefault="00253DD5">
      <w:pPr>
        <w:numPr>
          <w:ilvl w:val="0"/>
          <w:numId w:val="5"/>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математичної статистики</w:t>
      </w:r>
    </w:p>
    <w:p w:rsidR="000B2DA2" w:rsidRDefault="000B2DA2">
      <w:pPr>
        <w:spacing w:after="0" w:line="360" w:lineRule="auto"/>
        <w:ind w:left="1429"/>
        <w:jc w:val="both"/>
        <w:rPr>
          <w:rFonts w:ascii="Times New Roman" w:eastAsia="Times New Roman" w:hAnsi="Times New Roman" w:cs="Times New Roman"/>
          <w:b/>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2.1.1 Теоретичний аналіз і узагальнення даних науково-методичної літератури. </w:t>
      </w:r>
      <w:r>
        <w:rPr>
          <w:rFonts w:ascii="Times New Roman" w:eastAsia="Times New Roman" w:hAnsi="Times New Roman" w:cs="Times New Roman"/>
          <w:sz w:val="28"/>
          <w:szCs w:val="28"/>
        </w:rPr>
        <w:t xml:space="preserve">З метою визначення актуальності досліджуваної проблеми, формулювання мети та завдань дослідження, визначення об’єкта і предмета використовувався метод теоретичного аналізу і узагальнення даних науково-методичної літератури. Використання зазначеного методу </w:t>
      </w:r>
      <w:r>
        <w:rPr>
          <w:rFonts w:ascii="Times New Roman" w:eastAsia="Times New Roman" w:hAnsi="Times New Roman" w:cs="Times New Roman"/>
          <w:sz w:val="28"/>
          <w:szCs w:val="28"/>
        </w:rPr>
        <w:t>дозволило проаналізувати та узагальнити теоретичні та методичні дані щодо особливостей організації фізкультурно-оздоровчих занять з особами другого періоду зрілого віку, визначити роль спеціально організованої рухової активності в житті осіб зрілого віку т</w:t>
      </w:r>
      <w:r>
        <w:rPr>
          <w:rFonts w:ascii="Times New Roman" w:eastAsia="Times New Roman" w:hAnsi="Times New Roman" w:cs="Times New Roman"/>
          <w:sz w:val="28"/>
          <w:szCs w:val="28"/>
        </w:rPr>
        <w:t>а ознайомитись з сучасними підходами до побудови програм фізкультурно-оздоровчих занять.</w:t>
      </w: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2.1.2 Антропометричні методи дослідження. </w:t>
      </w:r>
      <w:r>
        <w:rPr>
          <w:rFonts w:ascii="Times New Roman" w:eastAsia="Times New Roman" w:hAnsi="Times New Roman" w:cs="Times New Roman"/>
          <w:sz w:val="28"/>
          <w:szCs w:val="28"/>
        </w:rPr>
        <w:t>Метод антропометрії дозволив здійснити кількісні вимірювання показників фізичного розвитку у відповідності до міжнародних ст</w:t>
      </w:r>
      <w:r>
        <w:rPr>
          <w:rFonts w:ascii="Times New Roman" w:eastAsia="Times New Roman" w:hAnsi="Times New Roman" w:cs="Times New Roman"/>
          <w:sz w:val="28"/>
          <w:szCs w:val="28"/>
        </w:rPr>
        <w:t>андартів [58].</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процесі антропометричних вимірювань було здійснено оцінку довжини та маси тіла.</w:t>
      </w:r>
    </w:p>
    <w:p w:rsidR="000B2DA2" w:rsidRDefault="00253D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Довжину тіла вимірювали ростоміром з точністю до 0,1 см. При вимірюванні обстежуваний доторкався вертикальної планки інструменту стегнами, спиною та п’ятками. </w:t>
      </w:r>
    </w:p>
    <w:p w:rsidR="000B2DA2" w:rsidRDefault="00253DD5">
      <w:pPr>
        <w:widowControl w:val="0"/>
        <w:spacing w:after="0" w:line="360" w:lineRule="auto"/>
        <w:ind w:firstLine="709"/>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Масу тіла визначали на спеціальних медичних вагах з точністю до 0,1 кг через 3-4 години після їжі.</w:t>
      </w:r>
      <w:r>
        <w:rPr>
          <w:rFonts w:ascii="Times New Roman" w:eastAsia="Times New Roman" w:hAnsi="Times New Roman" w:cs="Times New Roman"/>
          <w:sz w:val="28"/>
          <w:szCs w:val="28"/>
          <w:u w:val="single"/>
        </w:rPr>
        <w:t xml:space="preserve"> </w:t>
      </w:r>
    </w:p>
    <w:p w:rsidR="000B2DA2" w:rsidRDefault="00253D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маси тіла (ІМТ) розраховували за формулою:</w:t>
      </w:r>
    </w:p>
    <w:p w:rsidR="000B2DA2" w:rsidRDefault="00253DD5">
      <w:pPr>
        <w:spacing w:after="0" w:line="360" w:lineRule="auto"/>
        <w:ind w:firstLine="720"/>
        <w:jc w:val="center"/>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ІМТ = МТ / ДТ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(2.1)</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 МТ – маса тіла, кг; ДТ – довжина тіла, м</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w:t>
      </w:r>
    </w:p>
    <w:p w:rsidR="000B2DA2" w:rsidRDefault="00253D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порівнювали із оціночною таблицею, представленою у спеціальній літературі [25].</w:t>
      </w:r>
    </w:p>
    <w:p w:rsidR="000B2DA2" w:rsidRDefault="000B2DA2">
      <w:pPr>
        <w:widowControl w:val="0"/>
        <w:shd w:val="clear" w:color="auto" w:fill="FFFFFF"/>
        <w:spacing w:after="0" w:line="360" w:lineRule="auto"/>
        <w:ind w:firstLine="709"/>
        <w:jc w:val="both"/>
        <w:rPr>
          <w:rFonts w:ascii="Times New Roman" w:eastAsia="Times New Roman" w:hAnsi="Times New Roman" w:cs="Times New Roman"/>
          <w:b/>
          <w:sz w:val="28"/>
          <w:szCs w:val="28"/>
        </w:rPr>
      </w:pPr>
    </w:p>
    <w:p w:rsidR="000B2DA2" w:rsidRDefault="00253DD5">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2.1.3 Фізіологічні методи дослідження. </w:t>
      </w:r>
      <w:r>
        <w:rPr>
          <w:rFonts w:ascii="Times New Roman" w:eastAsia="Times New Roman" w:hAnsi="Times New Roman" w:cs="Times New Roman"/>
          <w:sz w:val="28"/>
          <w:szCs w:val="28"/>
        </w:rPr>
        <w:t>Для оцінки стану серцево-судинної системи проводилися наступні вимірювання:</w:t>
      </w:r>
    </w:p>
    <w:p w:rsidR="000B2DA2" w:rsidRDefault="00253DD5">
      <w:pPr>
        <w:numPr>
          <w:ilvl w:val="0"/>
          <w:numId w:val="1"/>
        </w:num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частота серцевих скорочень в стані відн</w:t>
      </w:r>
      <w:r>
        <w:rPr>
          <w:rFonts w:ascii="Times New Roman" w:eastAsia="Times New Roman" w:hAnsi="Times New Roman" w:cs="Times New Roman"/>
          <w:sz w:val="28"/>
          <w:szCs w:val="28"/>
        </w:rPr>
        <w:t>осного спокою (ЧСС</w:t>
      </w:r>
      <w:r>
        <w:rPr>
          <w:rFonts w:ascii="Times New Roman" w:eastAsia="Times New Roman" w:hAnsi="Times New Roman" w:cs="Times New Roman"/>
          <w:sz w:val="28"/>
          <w:szCs w:val="28"/>
          <w:vertAlign w:val="subscript"/>
        </w:rPr>
        <w:t>сп</w:t>
      </w:r>
      <w:r>
        <w:rPr>
          <w:rFonts w:ascii="Times New Roman" w:eastAsia="Times New Roman" w:hAnsi="Times New Roman" w:cs="Times New Roman"/>
          <w:sz w:val="28"/>
          <w:szCs w:val="28"/>
        </w:rPr>
        <w:t xml:space="preserve">) – вимірюється за допомогою пальпаторного методу. Для цього прикладають 2-4 пальці на внутрішню поверхню  передпліччя лівої руки біля великого пальця і злегка притискають судину. Пульс лічать за 15 секунд і визначають кількість ударів </w:t>
      </w:r>
      <w:r>
        <w:rPr>
          <w:rFonts w:ascii="Times New Roman" w:eastAsia="Times New Roman" w:hAnsi="Times New Roman" w:cs="Times New Roman"/>
          <w:sz w:val="28"/>
          <w:szCs w:val="28"/>
        </w:rPr>
        <w:t>за 1 хвилину;</w:t>
      </w:r>
    </w:p>
    <w:p w:rsidR="000B2DA2" w:rsidRDefault="00253DD5">
      <w:pPr>
        <w:numPr>
          <w:ilvl w:val="0"/>
          <w:numId w:val="1"/>
        </w:num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систолічний та діастолічний артеріальний тиск. Систолічний тиск – це тиск, який характеризує систолу лівого шлуночка серця. Діастолічний – це тиск в артеріальній системі під час діастоли лівого шлуночка; визначається рівнем периферичного опо</w:t>
      </w:r>
      <w:r>
        <w:rPr>
          <w:rFonts w:ascii="Times New Roman" w:eastAsia="Times New Roman" w:hAnsi="Times New Roman" w:cs="Times New Roman"/>
          <w:sz w:val="28"/>
          <w:szCs w:val="28"/>
        </w:rPr>
        <w:t xml:space="preserve">ру і залежить від швидкості відтоку крові із артеріальної системи.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Нормальним значенням артеріального тиску для здорових молодих людей вважають такі: для систолічного – 100-129 мм.рт.ст., для діастолічного – 60-79 мм.рт.ст. Артеріальний тиск визначався за</w:t>
      </w:r>
      <w:r>
        <w:rPr>
          <w:rFonts w:ascii="Times New Roman" w:eastAsia="Times New Roman" w:hAnsi="Times New Roman" w:cs="Times New Roman"/>
          <w:sz w:val="28"/>
          <w:szCs w:val="28"/>
        </w:rPr>
        <w:t xml:space="preserve"> допомогою механічного тонометра.</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lastRenderedPageBreak/>
        <w:t>Індекс Робінсона</w:t>
      </w:r>
      <w:r>
        <w:rPr>
          <w:rFonts w:ascii="Times New Roman" w:eastAsia="Times New Roman" w:hAnsi="Times New Roman" w:cs="Times New Roman"/>
          <w:sz w:val="28"/>
          <w:szCs w:val="28"/>
        </w:rPr>
        <w:t xml:space="preserve"> – індекс роботи серця відображає рівень гемодинамічного навантаження на серцево-судинну систему та характеризує роботу серцевого м’язу. </w:t>
      </w:r>
    </w:p>
    <w:p w:rsidR="000B2DA2" w:rsidRDefault="00253DD5">
      <w:pPr>
        <w:spacing w:after="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Робінсона розраховували за формулою:</w:t>
      </w:r>
    </w:p>
    <w:p w:rsidR="000B2DA2" w:rsidRDefault="00253DD5">
      <w:pPr>
        <w:pBdr>
          <w:top w:val="nil"/>
          <w:left w:val="nil"/>
          <w:bottom w:val="nil"/>
          <w:right w:val="nil"/>
          <w:between w:val="nil"/>
        </w:pBdr>
        <w:spacing w:after="0" w:line="360" w:lineRule="auto"/>
        <w:ind w:left="720"/>
        <w:jc w:val="center"/>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m:t xml:space="preserve">Індекс Робінсона= </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ЧСС сп·АТсист</m:t>
            </m:r>
          </m:num>
          <m:den>
            <m:r>
              <w:rPr>
                <w:rFonts w:ascii="Cambria Math" w:eastAsia="Cambria Math" w:hAnsi="Cambria Math" w:cs="Cambria Math"/>
                <w:color w:val="000000"/>
                <w:sz w:val="28"/>
                <w:szCs w:val="28"/>
              </w:rPr>
              <m:t>100</m:t>
            </m:r>
          </m:den>
        </m:f>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(2.2)</w:t>
      </w:r>
    </w:p>
    <w:p w:rsidR="000B2DA2" w:rsidRDefault="00253DD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ЧСС</w:t>
      </w:r>
      <w:r>
        <w:rPr>
          <w:rFonts w:ascii="Times New Roman" w:eastAsia="Times New Roman" w:hAnsi="Times New Roman" w:cs="Times New Roman"/>
          <w:sz w:val="28"/>
          <w:szCs w:val="28"/>
          <w:vertAlign w:val="subscript"/>
        </w:rPr>
        <w:t>сп</w:t>
      </w:r>
      <w:r>
        <w:rPr>
          <w:rFonts w:ascii="Times New Roman" w:eastAsia="Times New Roman" w:hAnsi="Times New Roman" w:cs="Times New Roman"/>
          <w:sz w:val="28"/>
          <w:szCs w:val="28"/>
        </w:rPr>
        <w:t xml:space="preserve"> – частота серцевих скорочень в стані відносного спокою, уд×хв</w:t>
      </w:r>
      <w:r>
        <w:rPr>
          <w:rFonts w:ascii="Times New Roman" w:eastAsia="Times New Roman" w:hAnsi="Times New Roman" w:cs="Times New Roman"/>
          <w:sz w:val="28"/>
          <w:szCs w:val="28"/>
          <w:vertAlign w:val="superscript"/>
        </w:rPr>
        <w:t>-1</w:t>
      </w:r>
      <w:r>
        <w:rPr>
          <w:rFonts w:ascii="Times New Roman" w:eastAsia="Times New Roman" w:hAnsi="Times New Roman" w:cs="Times New Roman"/>
          <w:sz w:val="28"/>
          <w:szCs w:val="28"/>
        </w:rPr>
        <w:t>; АТ</w:t>
      </w:r>
      <w:r>
        <w:rPr>
          <w:rFonts w:ascii="Times New Roman" w:eastAsia="Times New Roman" w:hAnsi="Times New Roman" w:cs="Times New Roman"/>
          <w:sz w:val="28"/>
          <w:szCs w:val="28"/>
          <w:vertAlign w:val="subscript"/>
        </w:rPr>
        <w:t>сист</w:t>
      </w:r>
      <w:r>
        <w:rPr>
          <w:rFonts w:ascii="Times New Roman" w:eastAsia="Times New Roman" w:hAnsi="Times New Roman" w:cs="Times New Roman"/>
          <w:sz w:val="28"/>
          <w:szCs w:val="28"/>
        </w:rPr>
        <w:t xml:space="preserve"> – артеріальний тиск систолічний, мм.рт.ст.</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індексу: низький рівень – </w:t>
      </w:r>
      <w:r>
        <w:t>≤</w:t>
      </w:r>
      <w:r>
        <w:rPr>
          <w:rFonts w:ascii="Times New Roman" w:eastAsia="Times New Roman" w:hAnsi="Times New Roman" w:cs="Times New Roman"/>
          <w:sz w:val="28"/>
          <w:szCs w:val="28"/>
        </w:rPr>
        <w:t xml:space="preserve"> 101 ум.од., середній – 81-90 ум.од., вищий за середній – 80-75 ум.од., високий – 74 ум.од. </w:t>
      </w:r>
    </w:p>
    <w:p w:rsidR="000B2DA2" w:rsidRDefault="00253D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функціонального стану дихальної системи здійснювалась за допомогою проб з довільною затримкою дихання на вдиху (проба Штанге) та на видиху (проба Генча), а </w:t>
      </w:r>
      <w:r>
        <w:rPr>
          <w:rFonts w:ascii="Times New Roman" w:eastAsia="Times New Roman" w:hAnsi="Times New Roman" w:cs="Times New Roman"/>
          <w:sz w:val="28"/>
          <w:szCs w:val="28"/>
        </w:rPr>
        <w:t>отримані результати порівнювали із нормами [25]:</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Проба Штанге </w:t>
      </w:r>
      <w:r>
        <w:rPr>
          <w:rFonts w:ascii="Times New Roman" w:eastAsia="Times New Roman" w:hAnsi="Times New Roman" w:cs="Times New Roman"/>
          <w:sz w:val="28"/>
          <w:szCs w:val="28"/>
        </w:rPr>
        <w:t>полягає у затримці дихання обстежуваним, який знаходиться в положенні сидячи, після виконання декількох повних дихальних циклів, в кінці фази повного вдиху, замкнувши губи та затуливши ніс. Фікс</w:t>
      </w:r>
      <w:r>
        <w:rPr>
          <w:rFonts w:ascii="Times New Roman" w:eastAsia="Times New Roman" w:hAnsi="Times New Roman" w:cs="Times New Roman"/>
          <w:sz w:val="28"/>
          <w:szCs w:val="28"/>
        </w:rPr>
        <w:t xml:space="preserve">увався час від початку затримки дихання до першого скорочення діафрагми.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Проба Генча – </w:t>
      </w:r>
      <w:r>
        <w:rPr>
          <w:rFonts w:ascii="Times New Roman" w:eastAsia="Times New Roman" w:hAnsi="Times New Roman" w:cs="Times New Roman"/>
          <w:sz w:val="28"/>
          <w:szCs w:val="28"/>
        </w:rPr>
        <w:t xml:space="preserve">полягає у затримці дихання обстежуваним, який знаходиться в положенні сидячи, після виконання декількох повних дихальних циклів, в кінці фази повного видиху, замкнувши </w:t>
      </w:r>
      <w:r>
        <w:rPr>
          <w:rFonts w:ascii="Times New Roman" w:eastAsia="Times New Roman" w:hAnsi="Times New Roman" w:cs="Times New Roman"/>
          <w:sz w:val="28"/>
          <w:szCs w:val="28"/>
        </w:rPr>
        <w:t xml:space="preserve">губи та затуливши ніс. Час затримки дихання реєстрували секундоміром. </w:t>
      </w:r>
    </w:p>
    <w:p w:rsidR="000B2DA2" w:rsidRDefault="00253D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Фізичну працездатність визначали за допомогою індексу Руф’є за результатами реакції серцево-судинної системи на навантаження [25].</w:t>
      </w:r>
    </w:p>
    <w:p w:rsidR="000B2DA2" w:rsidRDefault="00253DD5">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досліджуваного в положенні лежачи на спині протягом </w:t>
      </w:r>
      <w:r>
        <w:rPr>
          <w:rFonts w:ascii="Times New Roman" w:eastAsia="Times New Roman" w:hAnsi="Times New Roman" w:cs="Times New Roman"/>
          <w:color w:val="000000"/>
          <w:sz w:val="28"/>
          <w:szCs w:val="28"/>
        </w:rPr>
        <w:t>5 хв, визначали пульс за 15 с (П1); потім протягом 45 с досліджуваний виконував 30 присідань. Після закінчення навантаження досліджуваний лягав, при цьому в нього знову вимірюють пульс за перші 15 с (П2), а потім – за останні 15 с першої хвилини періоду ві</w:t>
      </w:r>
      <w:r>
        <w:rPr>
          <w:rFonts w:ascii="Times New Roman" w:eastAsia="Times New Roman" w:hAnsi="Times New Roman" w:cs="Times New Roman"/>
          <w:color w:val="000000"/>
          <w:sz w:val="28"/>
          <w:szCs w:val="28"/>
        </w:rPr>
        <w:t>дновлення (П3). Оцінку роботоздатності здійснювали за формулою:</w:t>
      </w:r>
    </w:p>
    <w:p w:rsidR="000B2DA2" w:rsidRDefault="000B2DA2">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0B2DA2" w:rsidRDefault="00253DD5">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w:lastRenderedPageBreak/>
          <m:t>ІР=</m:t>
        </m:r>
        <m:f>
          <m:fPr>
            <m:ctrlPr>
              <w:rPr>
                <w:rFonts w:ascii="Cambria Math" w:eastAsia="Cambria Math" w:hAnsi="Cambria Math" w:cs="Cambria Math"/>
                <w:color w:val="000000"/>
                <w:sz w:val="28"/>
                <w:szCs w:val="28"/>
              </w:rPr>
            </m:ctrlPr>
          </m:fPr>
          <m:num>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П1+П2+П3</m:t>
                </m:r>
              </m:e>
            </m:d>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200</m:t>
            </m:r>
          </m:num>
          <m:den>
            <m:r>
              <w:rPr>
                <w:rFonts w:ascii="Cambria Math" w:eastAsia="Cambria Math" w:hAnsi="Cambria Math" w:cs="Cambria Math"/>
                <w:color w:val="000000"/>
                <w:sz w:val="28"/>
                <w:szCs w:val="28"/>
              </w:rPr>
              <m:t>10</m:t>
            </m:r>
          </m:den>
        </m:f>
        <m:r>
          <w:rPr>
            <w:rFonts w:ascii="Cambria Math" w:eastAsia="Cambria Math" w:hAnsi="Cambria Math" w:cs="Cambria Math"/>
            <w:color w:val="000000"/>
            <w:sz w:val="28"/>
            <w:szCs w:val="28"/>
          </w:rPr>
          <m:t xml:space="preserve">                                      </m:t>
        </m:r>
      </m:oMath>
      <w:r>
        <w:rPr>
          <w:rFonts w:ascii="Times New Roman" w:eastAsia="Times New Roman" w:hAnsi="Times New Roman" w:cs="Times New Roman"/>
          <w:color w:val="000000"/>
          <w:sz w:val="28"/>
          <w:szCs w:val="28"/>
        </w:rPr>
        <w:t>(2.2)</w:t>
      </w:r>
    </w:p>
    <w:p w:rsidR="000B2DA2" w:rsidRDefault="000B2DA2">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w:r>
        <w:rPr>
          <w:rFonts w:ascii="Times New Roman" w:eastAsia="Times New Roman" w:hAnsi="Times New Roman" w:cs="Times New Roman"/>
          <w:i/>
          <w:color w:val="000000"/>
          <w:sz w:val="28"/>
          <w:szCs w:val="28"/>
        </w:rPr>
        <w:t>П</w:t>
      </w:r>
      <w:r>
        <w:rPr>
          <w:rFonts w:ascii="Times New Roman" w:eastAsia="Times New Roman" w:hAnsi="Times New Roman" w:cs="Times New Roman"/>
          <w:i/>
          <w:color w:val="000000"/>
          <w:sz w:val="28"/>
          <w:szCs w:val="28"/>
          <w:vertAlign w:val="subscript"/>
        </w:rPr>
        <w:t>1</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початковий пульс; </w:t>
      </w:r>
      <w:r>
        <w:rPr>
          <w:rFonts w:ascii="Times New Roman" w:eastAsia="Times New Roman" w:hAnsi="Times New Roman" w:cs="Times New Roman"/>
          <w:i/>
          <w:color w:val="000000"/>
          <w:sz w:val="28"/>
          <w:szCs w:val="28"/>
        </w:rPr>
        <w:t>П</w:t>
      </w:r>
      <w:r>
        <w:rPr>
          <w:rFonts w:ascii="Times New Roman" w:eastAsia="Times New Roman" w:hAnsi="Times New Roman" w:cs="Times New Roman"/>
          <w:i/>
          <w:color w:val="000000"/>
          <w:sz w:val="28"/>
          <w:szCs w:val="28"/>
          <w:vertAlign w:val="subscript"/>
        </w:rPr>
        <w:t>2</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відразу після навантаження; </w:t>
      </w:r>
      <w:r>
        <w:rPr>
          <w:rFonts w:ascii="Times New Roman" w:eastAsia="Times New Roman" w:hAnsi="Times New Roman" w:cs="Times New Roman"/>
          <w:i/>
          <w:color w:val="000000"/>
          <w:sz w:val="28"/>
          <w:szCs w:val="28"/>
        </w:rPr>
        <w:t>П</w:t>
      </w:r>
      <w:r>
        <w:rPr>
          <w:rFonts w:ascii="Times New Roman" w:eastAsia="Times New Roman" w:hAnsi="Times New Roman" w:cs="Times New Roman"/>
          <w:i/>
          <w:color w:val="000000"/>
          <w:sz w:val="28"/>
          <w:szCs w:val="28"/>
          <w:vertAlign w:val="subscript"/>
        </w:rPr>
        <w:t>3</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в кінці 1-ї хвилини відновлення.</w:t>
      </w:r>
    </w:p>
    <w:p w:rsidR="000B2DA2" w:rsidRDefault="00253DD5">
      <w:pPr>
        <w:pBdr>
          <w:top w:val="nil"/>
          <w:left w:val="nil"/>
          <w:bottom w:val="nil"/>
          <w:right w:val="nil"/>
          <w:between w:val="nil"/>
        </w:pBdr>
        <w:shd w:val="clear" w:color="auto" w:fill="FFFFFF"/>
        <w:spacing w:after="0" w:line="360" w:lineRule="auto"/>
        <w:ind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 індексу Руф’є представлена в табл. 2.1.</w:t>
      </w:r>
    </w:p>
    <w:p w:rsidR="000B2DA2" w:rsidRDefault="00253DD5">
      <w:pPr>
        <w:pBdr>
          <w:top w:val="nil"/>
          <w:left w:val="nil"/>
          <w:bottom w:val="nil"/>
          <w:right w:val="nil"/>
          <w:between w:val="nil"/>
        </w:pBdr>
        <w:shd w:val="clear" w:color="auto" w:fill="FFFFFF"/>
        <w:spacing w:after="0" w:line="360" w:lineRule="auto"/>
        <w:ind w:firstLine="993"/>
        <w:jc w:val="right"/>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Таблиця 2.1</w:t>
      </w:r>
    </w:p>
    <w:p w:rsidR="000B2DA2" w:rsidRDefault="00253DD5">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Оцінка рівня фізичної роботоздатності за індексом Руф’є, у.о. </w:t>
      </w:r>
    </w:p>
    <w:tbl>
      <w:tblPr>
        <w:tblStyle w:val="af9"/>
        <w:tblW w:w="923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43"/>
        <w:gridCol w:w="3493"/>
      </w:tblGrid>
      <w:tr w:rsidR="000B2DA2">
        <w:tc>
          <w:tcPr>
            <w:tcW w:w="574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Рівень фізичної роботоздатності</w:t>
            </w:r>
          </w:p>
        </w:tc>
        <w:tc>
          <w:tcPr>
            <w:tcW w:w="349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Індекс Руф’є, у.о.</w:t>
            </w:r>
          </w:p>
        </w:tc>
      </w:tr>
      <w:tr w:rsidR="000B2DA2">
        <w:tc>
          <w:tcPr>
            <w:tcW w:w="574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349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sdt>
              <w:sdtPr>
                <w:tag w:val="goog_rdk_0"/>
                <w:id w:val="423686146"/>
              </w:sdtPr>
              <w:sdtEndPr/>
              <w:sdtContent>
                <w:r>
                  <w:rPr>
                    <w:rFonts w:ascii="Gungsuh" w:eastAsia="Gungsuh" w:hAnsi="Gungsuh" w:cs="Gungsuh"/>
                    <w:sz w:val="28"/>
                    <w:szCs w:val="28"/>
                  </w:rPr>
                  <w:t>≤3</w:t>
                </w:r>
              </w:sdtContent>
            </w:sdt>
          </w:p>
        </w:tc>
      </w:tr>
      <w:tr w:rsidR="000B2DA2">
        <w:tc>
          <w:tcPr>
            <w:tcW w:w="574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Добрий</w:t>
            </w:r>
          </w:p>
        </w:tc>
        <w:tc>
          <w:tcPr>
            <w:tcW w:w="349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4-6</w:t>
            </w:r>
          </w:p>
        </w:tc>
      </w:tr>
      <w:tr w:rsidR="000B2DA2">
        <w:tc>
          <w:tcPr>
            <w:tcW w:w="574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349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w:t>
            </w:r>
          </w:p>
        </w:tc>
      </w:tr>
      <w:tr w:rsidR="000B2DA2">
        <w:tc>
          <w:tcPr>
            <w:tcW w:w="574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Задовільний</w:t>
            </w:r>
          </w:p>
        </w:tc>
        <w:tc>
          <w:tcPr>
            <w:tcW w:w="349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10-14</w:t>
            </w:r>
          </w:p>
        </w:tc>
      </w:tr>
      <w:tr w:rsidR="000B2DA2">
        <w:tc>
          <w:tcPr>
            <w:tcW w:w="574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Поганий</w:t>
            </w:r>
          </w:p>
        </w:tc>
        <w:tc>
          <w:tcPr>
            <w:tcW w:w="3493" w:type="dxa"/>
            <w:shd w:val="clear" w:color="auto" w:fill="FFFFFF"/>
            <w:tcMar>
              <w:top w:w="0" w:type="dxa"/>
              <w:left w:w="108" w:type="dxa"/>
              <w:bottom w:w="0" w:type="dxa"/>
              <w:right w:w="108" w:type="dxa"/>
            </w:tcMar>
          </w:tcPr>
          <w:p w:rsidR="000B2DA2" w:rsidRDefault="00253DD5">
            <w:pPr>
              <w:spacing w:after="0" w:line="360" w:lineRule="auto"/>
              <w:jc w:val="center"/>
              <w:rPr>
                <w:rFonts w:ascii="Times New Roman" w:eastAsia="Times New Roman" w:hAnsi="Times New Roman" w:cs="Times New Roman"/>
                <w:sz w:val="28"/>
                <w:szCs w:val="28"/>
              </w:rPr>
            </w:pPr>
            <w:sdt>
              <w:sdtPr>
                <w:tag w:val="goog_rdk_1"/>
                <w:id w:val="-378399609"/>
              </w:sdtPr>
              <w:sdtEndPr/>
              <w:sdtContent>
                <w:r>
                  <w:rPr>
                    <w:rFonts w:ascii="Gungsuh" w:eastAsia="Gungsuh" w:hAnsi="Gungsuh" w:cs="Gungsuh"/>
                    <w:sz w:val="28"/>
                    <w:szCs w:val="28"/>
                  </w:rPr>
                  <w:t>≥15</w:t>
                </w:r>
              </w:sdtContent>
            </w:sdt>
          </w:p>
        </w:tc>
      </w:tr>
    </w:tbl>
    <w:p w:rsidR="000B2DA2" w:rsidRDefault="000B2DA2">
      <w:pPr>
        <w:spacing w:after="0" w:line="360" w:lineRule="auto"/>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2.1.4 Психодіагностичні методи дослідження</w:t>
      </w:r>
      <w:r>
        <w:rPr>
          <w:rFonts w:ascii="Times New Roman" w:eastAsia="Times New Roman" w:hAnsi="Times New Roman" w:cs="Times New Roman"/>
          <w:sz w:val="28"/>
          <w:szCs w:val="28"/>
        </w:rPr>
        <w:t xml:space="preserve">. З метою </w:t>
      </w:r>
      <w:r>
        <w:rPr>
          <w:rFonts w:ascii="Times New Roman" w:eastAsia="Times New Roman" w:hAnsi="Times New Roman" w:cs="Times New Roman"/>
          <w:i/>
          <w:sz w:val="28"/>
          <w:szCs w:val="28"/>
        </w:rPr>
        <w:t>оцінки якості життя</w:t>
      </w:r>
      <w:r>
        <w:rPr>
          <w:rFonts w:ascii="Times New Roman" w:eastAsia="Times New Roman" w:hAnsi="Times New Roman" w:cs="Times New Roman"/>
          <w:sz w:val="28"/>
          <w:szCs w:val="28"/>
        </w:rPr>
        <w:t xml:space="preserve"> було використано </w:t>
      </w:r>
      <w:r>
        <w:rPr>
          <w:rFonts w:ascii="Times New Roman" w:eastAsia="Times New Roman" w:hAnsi="Times New Roman" w:cs="Times New Roman"/>
          <w:i/>
          <w:sz w:val="28"/>
          <w:szCs w:val="28"/>
        </w:rPr>
        <w:t>опитувальник SF-36,</w:t>
      </w:r>
      <w:r>
        <w:rPr>
          <w:rFonts w:ascii="Times New Roman" w:eastAsia="Times New Roman" w:hAnsi="Times New Roman" w:cs="Times New Roman"/>
          <w:sz w:val="28"/>
          <w:szCs w:val="28"/>
        </w:rPr>
        <w:t xml:space="preserve"> який складається із 36 питань, котрі об’єднані у 8 шкал [26, 53]: </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фізичне функціонування (Physical Functioning – PF) відображає ступінь, при якій </w:t>
      </w:r>
      <w:r>
        <w:rPr>
          <w:rFonts w:ascii="Times New Roman" w:eastAsia="Times New Roman" w:hAnsi="Times New Roman" w:cs="Times New Roman"/>
          <w:color w:val="000000"/>
          <w:sz w:val="28"/>
          <w:szCs w:val="28"/>
        </w:rPr>
        <w:t xml:space="preserve">фізичний стан обмежує виконання фізичних навантажень (самообслуговування, ходьба, підйом по сходах, перенесення ваги тощо); </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рольове функціонування, обумовлене фізичним станом (Role Physical Functioning – RP), відповідає впливу фізичного стану на повсякден</w:t>
      </w:r>
      <w:r>
        <w:rPr>
          <w:rFonts w:ascii="Times New Roman" w:eastAsia="Times New Roman" w:hAnsi="Times New Roman" w:cs="Times New Roman"/>
          <w:color w:val="000000"/>
          <w:sz w:val="28"/>
          <w:szCs w:val="28"/>
        </w:rPr>
        <w:t xml:space="preserve">ну рольову діяльність (роботу, виконання повсякденних обов’язків); </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інтенсивність болю (Bodily Pain – BP) характеризує вплив на здатність займатися повсякденною діяльністю, включаючи роботу по дому і поза домом;</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загальний стан здоров’я (General Health – GH</w:t>
      </w:r>
      <w:r>
        <w:rPr>
          <w:rFonts w:ascii="Times New Roman" w:eastAsia="Times New Roman" w:hAnsi="Times New Roman" w:cs="Times New Roman"/>
          <w:color w:val="000000"/>
          <w:sz w:val="28"/>
          <w:szCs w:val="28"/>
        </w:rPr>
        <w:t xml:space="preserve">) допомагає оцінити свій стан здоров’я зараз і перспективи лікування; </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життєздатність (Vitality – VT) характеризує відчуття людиною повноти сил і енергії або, навпаки, знесилення;</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соціальне функціонування (Social Functioning – SF) визначається ступенем, в </w:t>
      </w:r>
      <w:r>
        <w:rPr>
          <w:rFonts w:ascii="Times New Roman" w:eastAsia="Times New Roman" w:hAnsi="Times New Roman" w:cs="Times New Roman"/>
          <w:color w:val="000000"/>
          <w:sz w:val="28"/>
          <w:szCs w:val="28"/>
        </w:rPr>
        <w:t>якому фізичний або емоційний стани обмежують соціальну активність (спілкування);</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рольове функціонування, обумовлене емоційним станом (Role Emotional – RE), передбачає оцінку ступеня, в якому емоційний стан заважає виконанню роботи або іншої повсякденної діяльності (включаючи великі витрати часу та зменшення обсягу роботи, зниження її я</w:t>
      </w:r>
      <w:r>
        <w:rPr>
          <w:rFonts w:ascii="Times New Roman" w:eastAsia="Times New Roman" w:hAnsi="Times New Roman" w:cs="Times New Roman"/>
          <w:color w:val="000000"/>
          <w:sz w:val="28"/>
          <w:szCs w:val="28"/>
        </w:rPr>
        <w:t xml:space="preserve">кості тощо); </w:t>
      </w:r>
    </w:p>
    <w:p w:rsidR="000B2DA2" w:rsidRDefault="00253DD5">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психічне здоров’я (Mental Health – MH), характеризує настрій, наявність депресії, тривоги та є загальним показником позитивних емоцій.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Підсумок і кодування відповідей проводиться стандартизовано, де показники кожної шкали варіюють між 0 і 10</w:t>
      </w:r>
      <w:r>
        <w:rPr>
          <w:rFonts w:ascii="Times New Roman" w:eastAsia="Times New Roman" w:hAnsi="Times New Roman" w:cs="Times New Roman"/>
          <w:sz w:val="28"/>
          <w:szCs w:val="28"/>
        </w:rPr>
        <w:t xml:space="preserve">0, де 100 представляє повне здоров’я. </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Опитувальник САН: самопочуття, активність, настрій</w:t>
      </w:r>
      <w:r>
        <w:rPr>
          <w:rFonts w:ascii="Times New Roman" w:eastAsia="Times New Roman" w:hAnsi="Times New Roman" w:cs="Times New Roman"/>
          <w:color w:val="000000"/>
          <w:sz w:val="28"/>
          <w:szCs w:val="28"/>
        </w:rPr>
        <w:t xml:space="preserve"> розрахований для психодіагностичного обстеження дорослих осіб без будь-яких обмежень за статевими, соціальним, професійним, освітніми чи іншими ознаками. Призначення </w:t>
      </w:r>
      <w:r>
        <w:rPr>
          <w:rFonts w:ascii="Times New Roman" w:eastAsia="Times New Roman" w:hAnsi="Times New Roman" w:cs="Times New Roman"/>
          <w:color w:val="000000"/>
          <w:sz w:val="28"/>
          <w:szCs w:val="28"/>
        </w:rPr>
        <w:t xml:space="preserve">опитувальна – оперативна оцінка психоемоційного стану дорослої людини на момент обстеження. </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Опитувальник складається з 30 пар протилежних характеристик, за якими досліджуваного просять оцінити свій стан. Кожна пара являє собою шкалу, на якій учасник дослі</w:t>
      </w:r>
      <w:r>
        <w:rPr>
          <w:rFonts w:ascii="Times New Roman" w:eastAsia="Times New Roman" w:hAnsi="Times New Roman" w:cs="Times New Roman"/>
          <w:color w:val="000000"/>
          <w:sz w:val="28"/>
          <w:szCs w:val="28"/>
        </w:rPr>
        <w:t>дження зазначає ступінь вираженості тієї чи іншої характеристики свого стану, яка найточніше описує стан у конкретний момент, та відзначає цифрою, яка відповідає цифрі вираженості даної характеристики.</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підрахунком остання ступінь вираженості негативного</w:t>
      </w:r>
      <w:r>
        <w:rPr>
          <w:rFonts w:ascii="Times New Roman" w:eastAsia="Times New Roman" w:hAnsi="Times New Roman" w:cs="Times New Roman"/>
          <w:color w:val="000000"/>
          <w:sz w:val="28"/>
          <w:szCs w:val="28"/>
        </w:rPr>
        <w:t xml:space="preserve"> полюса оцінюється в 1 бал, а остання ступінь позитивного полюса – в 7 балів. Полюси шкал постійно змінюються, але позитивні – завжди отримують високі бали, а негативні – низькі.</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Отримані бали після цього групуються відповідно до ключа в три категорії, і п</w:t>
      </w:r>
      <w:r>
        <w:rPr>
          <w:rFonts w:ascii="Times New Roman" w:eastAsia="Times New Roman" w:hAnsi="Times New Roman" w:cs="Times New Roman"/>
          <w:color w:val="000000"/>
          <w:sz w:val="28"/>
          <w:szCs w:val="28"/>
        </w:rPr>
        <w:t>ісля чого підраховується кількість балів по кожній з них:</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Самопочуття – сума балів за шкалами: 1, 2, 7, 8, 13, 14, 19, 20, 25, 26. </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Активність - сума балів за шкалами: 3, 4, 9, 10, 15, 16, 21, 22, 27, 28. </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Настрій - сума балів за шкалами: 5, 6, 11, 12, 17, 18, 23, 24, 29, 30. </w:t>
      </w:r>
    </w:p>
    <w:p w:rsidR="000B2DA2" w:rsidRDefault="00253DD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з кожної категорії діляться на 10. Середній бал шкали рівний 4. Частка балів, що перевищує 4 бали, вказує на сприятливий стан респондента, нижче 4 – на несприятливи</w:t>
      </w:r>
      <w:r>
        <w:rPr>
          <w:rFonts w:ascii="Times New Roman" w:eastAsia="Times New Roman" w:hAnsi="Times New Roman" w:cs="Times New Roman"/>
          <w:color w:val="000000"/>
          <w:sz w:val="28"/>
          <w:szCs w:val="28"/>
        </w:rPr>
        <w:t>й стан. Задовільні оцінки стану розташовуються в діапазоні 5,0-5,5 балів.</w:t>
      </w:r>
    </w:p>
    <w:p w:rsidR="000B2DA2" w:rsidRDefault="000B2DA2">
      <w:pPr>
        <w:tabs>
          <w:tab w:val="left" w:pos="1340"/>
        </w:tabs>
        <w:spacing w:after="0" w:line="360" w:lineRule="auto"/>
        <w:ind w:firstLine="709"/>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2.1.5</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Педагогічні методи. </w:t>
      </w:r>
      <w:r>
        <w:rPr>
          <w:rFonts w:ascii="Times New Roman" w:eastAsia="Times New Roman" w:hAnsi="Times New Roman" w:cs="Times New Roman"/>
          <w:sz w:val="28"/>
          <w:szCs w:val="28"/>
        </w:rPr>
        <w:t>З метою проведення досліджень використовувався метод педагогічного спостереження та педагогічний експеримент.</w:t>
      </w:r>
    </w:p>
    <w:p w:rsidR="000B2DA2" w:rsidRDefault="00253DD5">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використання методу педагогічног</w:t>
      </w:r>
      <w:r>
        <w:rPr>
          <w:rFonts w:ascii="Times New Roman" w:eastAsia="Times New Roman" w:hAnsi="Times New Roman" w:cs="Times New Roman"/>
          <w:sz w:val="28"/>
          <w:szCs w:val="28"/>
        </w:rPr>
        <w:t xml:space="preserve">о спостереження було отримано попередню інформацію щодо особливостей організації фізкультурно-оздоровчих занять з особами зрілого віку. Спостереження було довготривалим, об’єктивним, цілеспрямованим, організованим та систематичним безпосередньо до об’єкта </w:t>
      </w:r>
      <w:r>
        <w:rPr>
          <w:rFonts w:ascii="Times New Roman" w:eastAsia="Times New Roman" w:hAnsi="Times New Roman" w:cs="Times New Roman"/>
          <w:sz w:val="28"/>
          <w:szCs w:val="28"/>
        </w:rPr>
        <w:t>дослідження. Об’єктом були оздоровчі заняття спортивними танцями для осіб другого періоду зрілого віку.</w:t>
      </w:r>
    </w:p>
    <w:p w:rsidR="000B2DA2" w:rsidRDefault="00253DD5">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проведення педагогічного експерименту визначався вплив оздоровчих занять спортивними танцями на показники фізичного стану та якості життя осіб д</w:t>
      </w:r>
      <w:r>
        <w:rPr>
          <w:rFonts w:ascii="Times New Roman" w:eastAsia="Times New Roman" w:hAnsi="Times New Roman" w:cs="Times New Roman"/>
          <w:sz w:val="28"/>
          <w:szCs w:val="28"/>
        </w:rPr>
        <w:t>ругого періоду зрілого віку. Проведений педагогічний експеримент складався з двох етапів: констатувальний та формувальний.</w:t>
      </w:r>
    </w:p>
    <w:p w:rsidR="000B2DA2" w:rsidRDefault="00253DD5">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Констатувальний мав на меті оцінити антропометричні та функціональні показники, а також показники психоемоційного стану та мотивації </w:t>
      </w:r>
      <w:r>
        <w:rPr>
          <w:rFonts w:ascii="Times New Roman" w:eastAsia="Times New Roman" w:hAnsi="Times New Roman" w:cs="Times New Roman"/>
          <w:sz w:val="28"/>
          <w:szCs w:val="28"/>
        </w:rPr>
        <w:t>осіб зрілого віку до занять спеціально організованою руховою активністю. Формувальний етап дослідження полягав у впровадженні та визначенні ефективності програми оздоровчих занять спортивними танцями для осіб зрілого віку, що передбачало визначення її впли</w:t>
      </w:r>
      <w:r>
        <w:rPr>
          <w:rFonts w:ascii="Times New Roman" w:eastAsia="Times New Roman" w:hAnsi="Times New Roman" w:cs="Times New Roman"/>
          <w:sz w:val="28"/>
          <w:szCs w:val="28"/>
        </w:rPr>
        <w:t xml:space="preserve">ву на показники фізичного та психоемоційного стану. </w:t>
      </w:r>
    </w:p>
    <w:p w:rsidR="000B2DA2" w:rsidRDefault="00253D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2.1.6</w:t>
      </w:r>
      <w:r>
        <w:rPr>
          <w:rFonts w:ascii="Times New Roman" w:eastAsia="Times New Roman" w:hAnsi="Times New Roman" w:cs="Times New Roman"/>
          <w:b/>
          <w:i/>
          <w:sz w:val="28"/>
          <w:szCs w:val="28"/>
        </w:rPr>
        <w:t xml:space="preserve"> </w:t>
      </w:r>
      <w:r>
        <w:rPr>
          <w:rFonts w:ascii="Times New Roman" w:eastAsia="Times New Roman" w:hAnsi="Times New Roman" w:cs="Times New Roman"/>
          <w:b/>
          <w:sz w:val="28"/>
          <w:szCs w:val="28"/>
        </w:rPr>
        <w:t xml:space="preserve">Методи математичної статистики. </w:t>
      </w:r>
      <w:r>
        <w:rPr>
          <w:rFonts w:ascii="Times New Roman" w:eastAsia="Times New Roman" w:hAnsi="Times New Roman" w:cs="Times New Roman"/>
          <w:sz w:val="28"/>
          <w:szCs w:val="28"/>
        </w:rPr>
        <w:t>Статистична обробка отриманих даних проводилася за допомогою пакету «Statistica 10.0» (StatSoft, США) і електронних таблиць «Excel» (Microsoft, США), які дозволили провести аналіз вимірювань і розрахунок базових величин:</w:t>
      </w:r>
    </w:p>
    <w:p w:rsidR="000B2DA2" w:rsidRDefault="00253DD5">
      <w:pPr>
        <w:numPr>
          <w:ilvl w:val="0"/>
          <w:numId w:val="1"/>
        </w:num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середнє значення вибірки (</w:t>
      </w:r>
      <w:r>
        <w:rPr>
          <w:rFonts w:ascii="Times New Roman" w:eastAsia="Times New Roman" w:hAnsi="Times New Roman" w:cs="Times New Roman"/>
          <w:sz w:val="46"/>
          <w:szCs w:val="46"/>
          <w:vertAlign w:val="subscript"/>
        </w:rPr>
        <w:object w:dxaOrig="234" w:dyaOrig="3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5pt" o:ole="">
            <v:imagedata r:id="rId9" o:title=""/>
          </v:shape>
          <o:OLEObject Type="Embed" ProgID="Equation.3" ShapeID="_x0000_i1025" DrawAspect="Content" ObjectID="_1796755521" r:id="rId10"/>
        </w:object>
      </w:r>
      <w:r>
        <w:rPr>
          <w:rFonts w:ascii="Times New Roman" w:eastAsia="Times New Roman" w:hAnsi="Times New Roman" w:cs="Times New Roman"/>
          <w:sz w:val="28"/>
          <w:szCs w:val="28"/>
        </w:rPr>
        <w:t>);</w:t>
      </w:r>
    </w:p>
    <w:p w:rsidR="000B2DA2" w:rsidRDefault="00253DD5">
      <w:pPr>
        <w:numPr>
          <w:ilvl w:val="0"/>
          <w:numId w:val="1"/>
        </w:num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стандартне відхилення (S).</w:t>
      </w:r>
    </w:p>
    <w:p w:rsidR="000B2DA2" w:rsidRDefault="00253DD5">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Достовірність різниць між середніми величинами визначалася за критерієм Стьюдента, при цьому попередньо перевірялась гіпотеза про нормальний розподіл результатів вимірювання за критерієм Шапіро-Уілкі [13]. </w:t>
      </w:r>
    </w:p>
    <w:p w:rsidR="000B2DA2" w:rsidRDefault="000B2DA2">
      <w:pPr>
        <w:widowControl w:val="0"/>
        <w:spacing w:after="0" w:line="360" w:lineRule="auto"/>
        <w:ind w:firstLine="720"/>
        <w:jc w:val="both"/>
        <w:rPr>
          <w:rFonts w:ascii="Times New Roman" w:eastAsia="Times New Roman" w:hAnsi="Times New Roman" w:cs="Times New Roman"/>
          <w:b/>
          <w:smallCaps/>
          <w:sz w:val="28"/>
          <w:szCs w:val="28"/>
        </w:rPr>
      </w:pPr>
    </w:p>
    <w:p w:rsidR="000B2DA2" w:rsidRDefault="00253DD5">
      <w:pPr>
        <w:widowControl w:val="0"/>
        <w:shd w:val="clear" w:color="auto" w:fill="FFFFFF"/>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mallCaps/>
          <w:sz w:val="28"/>
          <w:szCs w:val="28"/>
        </w:rPr>
        <w:t xml:space="preserve">2.2 </w:t>
      </w:r>
      <w:r>
        <w:rPr>
          <w:rFonts w:ascii="Times New Roman" w:eastAsia="Times New Roman" w:hAnsi="Times New Roman" w:cs="Times New Roman"/>
          <w:b/>
          <w:sz w:val="28"/>
          <w:szCs w:val="28"/>
        </w:rPr>
        <w:t>Організація дослідження</w:t>
      </w:r>
    </w:p>
    <w:p w:rsidR="000B2DA2" w:rsidRDefault="00253DD5">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Науково-дослідна робота була розділена на три етапи.</w:t>
      </w:r>
    </w:p>
    <w:p w:rsidR="000B2DA2" w:rsidRDefault="00253DD5">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Основною метою</w:t>
      </w:r>
      <w:r>
        <w:rPr>
          <w:rFonts w:ascii="Times New Roman" w:eastAsia="Times New Roman" w:hAnsi="Times New Roman" w:cs="Times New Roman"/>
          <w:b/>
          <w:sz w:val="28"/>
          <w:szCs w:val="28"/>
        </w:rPr>
        <w:t xml:space="preserve"> першого етапу</w:t>
      </w:r>
      <w:r>
        <w:rPr>
          <w:rFonts w:ascii="Times New Roman" w:eastAsia="Times New Roman" w:hAnsi="Times New Roman" w:cs="Times New Roman"/>
          <w:sz w:val="28"/>
          <w:szCs w:val="28"/>
        </w:rPr>
        <w:t xml:space="preserve"> (вересень – жовтень 2023 р). було здійснення теоретичного аналізу спеціальної літератури та джерел мережі інтернет щодо теоретико-методичних особл</w:t>
      </w:r>
      <w:r>
        <w:rPr>
          <w:rFonts w:ascii="Times New Roman" w:eastAsia="Times New Roman" w:hAnsi="Times New Roman" w:cs="Times New Roman"/>
          <w:sz w:val="28"/>
          <w:szCs w:val="28"/>
        </w:rPr>
        <w:t xml:space="preserve">ивостей організації фізкультурно-оздоровчих занять з особами другого періоду зрілого віку. Отримані дані дозволили обґрунтувати мету, завдання і визначити методи дослідження. Було розроблено програму та визначено експериментальну базу дослідження. </w:t>
      </w:r>
    </w:p>
    <w:p w:rsidR="000B2DA2" w:rsidRDefault="00253DD5">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Впродов</w:t>
      </w:r>
      <w:r>
        <w:rPr>
          <w:rFonts w:ascii="Times New Roman" w:eastAsia="Times New Roman" w:hAnsi="Times New Roman" w:cs="Times New Roman"/>
          <w:sz w:val="28"/>
          <w:szCs w:val="28"/>
        </w:rPr>
        <w:t>ж</w:t>
      </w:r>
      <w:r>
        <w:rPr>
          <w:rFonts w:ascii="Times New Roman" w:eastAsia="Times New Roman" w:hAnsi="Times New Roman" w:cs="Times New Roman"/>
          <w:b/>
          <w:sz w:val="28"/>
          <w:szCs w:val="28"/>
        </w:rPr>
        <w:t xml:space="preserve"> другого етапу</w:t>
      </w:r>
      <w:r>
        <w:rPr>
          <w:rFonts w:ascii="Times New Roman" w:eastAsia="Times New Roman" w:hAnsi="Times New Roman" w:cs="Times New Roman"/>
          <w:sz w:val="28"/>
          <w:szCs w:val="28"/>
        </w:rPr>
        <w:t xml:space="preserve"> дослідження (листопад 2023 р. – квітень</w:t>
      </w:r>
      <w:r>
        <w:rPr>
          <w:rFonts w:ascii="Times New Roman" w:eastAsia="Times New Roman" w:hAnsi="Times New Roman" w:cs="Times New Roman"/>
          <w:sz w:val="28"/>
          <w:szCs w:val="28"/>
        </w:rPr>
        <w:br/>
        <w:t>2024 р.) проводився педагогічний експеримент, який включав в себе низку тестів, що дозволили оцінити показники фізичного та психоемоційного стану чоловіків та жінок 36-45 років, котрих було залучено д</w:t>
      </w:r>
      <w:r>
        <w:rPr>
          <w:rFonts w:ascii="Times New Roman" w:eastAsia="Times New Roman" w:hAnsi="Times New Roman" w:cs="Times New Roman"/>
          <w:sz w:val="28"/>
          <w:szCs w:val="28"/>
        </w:rPr>
        <w:t>о експерименту. Педагогічний експеримент проводився у два етапи: констатувальний етап дозволив оцінити вихідний рівень досліджуваних показників, а формувальний – визначити ефективність програми оздоровчих занять спортивними танцями для осіб другого періоду</w:t>
      </w:r>
      <w:r>
        <w:rPr>
          <w:rFonts w:ascii="Times New Roman" w:eastAsia="Times New Roman" w:hAnsi="Times New Roman" w:cs="Times New Roman"/>
          <w:sz w:val="28"/>
          <w:szCs w:val="28"/>
        </w:rPr>
        <w:t xml:space="preserve"> зрілого віку. </w:t>
      </w:r>
    </w:p>
    <w:p w:rsidR="000B2DA2" w:rsidRDefault="00253DD5">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дослідженні брали участь чоловіки та жінки віком 36-45 років, в кількості 16 осіб, які не мають відхилень у стані здоров’я, котрі могли б бути </w:t>
      </w:r>
      <w:r>
        <w:rPr>
          <w:rFonts w:ascii="Times New Roman" w:eastAsia="Times New Roman" w:hAnsi="Times New Roman" w:cs="Times New Roman"/>
          <w:sz w:val="28"/>
          <w:szCs w:val="28"/>
        </w:rPr>
        <w:lastRenderedPageBreak/>
        <w:t>протипоказаннями до занять. Тривалість експерименту склала 6 місяців.</w:t>
      </w:r>
    </w:p>
    <w:p w:rsidR="000B2DA2" w:rsidRDefault="00253DD5">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r>
        <w:rPr>
          <w:rFonts w:ascii="Times New Roman" w:eastAsia="Times New Roman" w:hAnsi="Times New Roman" w:cs="Times New Roman"/>
          <w:b/>
          <w:sz w:val="28"/>
          <w:szCs w:val="28"/>
        </w:rPr>
        <w:t xml:space="preserve">третьому етапі </w:t>
      </w:r>
      <w:r>
        <w:rPr>
          <w:rFonts w:ascii="Times New Roman" w:eastAsia="Times New Roman" w:hAnsi="Times New Roman" w:cs="Times New Roman"/>
          <w:sz w:val="28"/>
          <w:szCs w:val="28"/>
        </w:rPr>
        <w:t>(травень – грудень 2024 рр.)</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здійснювалась обробка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отриманих даних, узагальнювалися емпіричні дані, було сформульовано висновки та здійснено оформлення кваліфікаційної роботи.</w:t>
      </w:r>
    </w:p>
    <w:p w:rsidR="000B2DA2" w:rsidRDefault="000B2DA2">
      <w:pPr>
        <w:spacing w:after="0" w:line="360" w:lineRule="auto"/>
        <w:ind w:firstLine="851"/>
        <w:jc w:val="both"/>
        <w:rPr>
          <w:rFonts w:ascii="Times New Roman" w:eastAsia="Times New Roman" w:hAnsi="Times New Roman" w:cs="Times New Roman"/>
          <w:sz w:val="28"/>
          <w:szCs w:val="28"/>
        </w:rPr>
      </w:pPr>
    </w:p>
    <w:p w:rsidR="000B2DA2" w:rsidRDefault="000B2DA2">
      <w:pPr>
        <w:spacing w:after="0" w:line="360" w:lineRule="auto"/>
        <w:ind w:firstLine="709"/>
        <w:jc w:val="both"/>
        <w:rPr>
          <w:rFonts w:ascii="Times New Roman" w:eastAsia="Times New Roman" w:hAnsi="Times New Roman" w:cs="Times New Roman"/>
          <w:b/>
          <w:sz w:val="28"/>
          <w:szCs w:val="28"/>
        </w:rPr>
      </w:pPr>
    </w:p>
    <w:p w:rsidR="000B2DA2" w:rsidRDefault="000B2DA2">
      <w:pPr>
        <w:spacing w:after="0" w:line="360" w:lineRule="auto"/>
        <w:ind w:firstLine="709"/>
        <w:jc w:val="center"/>
        <w:rPr>
          <w:rFonts w:ascii="Times New Roman" w:eastAsia="Times New Roman" w:hAnsi="Times New Roman" w:cs="Times New Roman"/>
          <w:sz w:val="28"/>
          <w:szCs w:val="28"/>
        </w:rPr>
      </w:pPr>
    </w:p>
    <w:p w:rsidR="000B2DA2" w:rsidRDefault="00253DD5">
      <w:pPr>
        <w:tabs>
          <w:tab w:val="left" w:pos="1340"/>
        </w:tabs>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0B2DA2" w:rsidRDefault="00253DD5">
      <w:pPr>
        <w:spacing w:after="0" w:line="360" w:lineRule="auto"/>
        <w:ind w:firstLine="709"/>
        <w:jc w:val="center"/>
        <w:rPr>
          <w:rFonts w:ascii="Times New Roman" w:eastAsia="Times New Roman" w:hAnsi="Times New Roman" w:cs="Times New Roman"/>
          <w:b/>
          <w:sz w:val="28"/>
          <w:szCs w:val="28"/>
        </w:rPr>
      </w:pPr>
      <w:r>
        <w:br w:type="column"/>
      </w:r>
      <w:r>
        <w:rPr>
          <w:rFonts w:ascii="Times New Roman" w:eastAsia="Times New Roman" w:hAnsi="Times New Roman" w:cs="Times New Roman"/>
          <w:b/>
          <w:sz w:val="28"/>
          <w:szCs w:val="28"/>
        </w:rPr>
        <w:lastRenderedPageBreak/>
        <w:t>РОЗДІЛ 3</w:t>
      </w:r>
    </w:p>
    <w:p w:rsidR="000B2DA2" w:rsidRDefault="00253DD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ПРОГРАМА ОЗДОРОВЧИХ ЗАНЯТЬ СПОРТИВНИМИ ТАНЦЯМИ ДЛЯ ОСІБ ДРУГОГО П</w:t>
      </w:r>
      <w:r>
        <w:rPr>
          <w:rFonts w:ascii="Times New Roman" w:eastAsia="Times New Roman" w:hAnsi="Times New Roman" w:cs="Times New Roman"/>
          <w:b/>
          <w:sz w:val="28"/>
          <w:szCs w:val="28"/>
        </w:rPr>
        <w:t>ЕРІОДУ ЗРІЛОГО ВІКУ: ОБҐРУНТУВАННЯ, РОЗРОБКА, ВИЗНАЧЕННЯ ЕФЕКТИВНОСТІ</w:t>
      </w:r>
    </w:p>
    <w:p w:rsidR="000B2DA2" w:rsidRDefault="000B2DA2">
      <w:pPr>
        <w:spacing w:after="0" w:line="360" w:lineRule="auto"/>
        <w:ind w:firstLine="709"/>
        <w:jc w:val="center"/>
        <w:rPr>
          <w:rFonts w:ascii="Times New Roman" w:eastAsia="Times New Roman" w:hAnsi="Times New Roman" w:cs="Times New Roman"/>
          <w:b/>
          <w:sz w:val="28"/>
          <w:szCs w:val="28"/>
        </w:rPr>
      </w:pPr>
    </w:p>
    <w:p w:rsidR="000B2DA2" w:rsidRDefault="000B2DA2">
      <w:pPr>
        <w:spacing w:after="0" w:line="360" w:lineRule="auto"/>
        <w:ind w:firstLine="709"/>
        <w:jc w:val="center"/>
        <w:rPr>
          <w:rFonts w:ascii="Times New Roman" w:eastAsia="Times New Roman" w:hAnsi="Times New Roman" w:cs="Times New Roman"/>
          <w:b/>
          <w:sz w:val="28"/>
          <w:szCs w:val="28"/>
        </w:rPr>
      </w:pP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w:t>
      </w:r>
      <w:r>
        <w:rPr>
          <w:rFonts w:ascii="Times New Roman" w:eastAsia="Times New Roman" w:hAnsi="Times New Roman" w:cs="Times New Roman"/>
          <w:b/>
          <w:sz w:val="28"/>
          <w:szCs w:val="28"/>
        </w:rPr>
        <w:tab/>
        <w:t xml:space="preserve">Особливості фізичного та психоемоційного стану осіб другого періоду зрілого віку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 дані наукової літератури [2, 18, 41], котрі свідчать про те, що першочерговим завданн</w:t>
      </w:r>
      <w:r>
        <w:rPr>
          <w:rFonts w:ascii="Times New Roman" w:eastAsia="Times New Roman" w:hAnsi="Times New Roman" w:cs="Times New Roman"/>
          <w:sz w:val="28"/>
          <w:szCs w:val="28"/>
        </w:rPr>
        <w:t>ям в процесі програмування занять з особами зрілого віку є визначення показників морфологічного та функціонального статусу їхнього організму, а досягнення оздоровчого ефекту можливе лише при умові відповідності навантажень (за параметрами обсягу, інтенсивн</w:t>
      </w:r>
      <w:r>
        <w:rPr>
          <w:rFonts w:ascii="Times New Roman" w:eastAsia="Times New Roman" w:hAnsi="Times New Roman" w:cs="Times New Roman"/>
          <w:sz w:val="28"/>
          <w:szCs w:val="28"/>
        </w:rPr>
        <w:t xml:space="preserve">ості, кратності занять тощо) функціональним можливостям організму [30], нами було здійснено оцінку антропометричних показників, показників функціонального стану серцево-судинної та дихальної систем чоловіків та жінок 36-45 років.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Визначені в процесі дослідження антропометричні показники жінок (табл. 3.1) свідчать про те, що довжина та маса тіла відповідають даним, котрі представлені у спеціальній літературі [37], а розрахункові дані індексу маси тіла (ІМТ) свідчать про його відпові</w:t>
      </w:r>
      <w:r>
        <w:rPr>
          <w:rFonts w:ascii="Times New Roman" w:eastAsia="Times New Roman" w:hAnsi="Times New Roman" w:cs="Times New Roman"/>
          <w:sz w:val="28"/>
          <w:szCs w:val="28"/>
        </w:rPr>
        <w:t xml:space="preserve">дність нормативним значенням. Варто зазначити, що серед обстежуваних жінок не було виявлено тих, чий ІМТ, відповідно до класифікації, вказував би на наявність надмірної чи недостатньої маси тіла.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те, що віковий діапазон жінок, залучених до е</w:t>
      </w:r>
      <w:r>
        <w:rPr>
          <w:rFonts w:ascii="Times New Roman" w:eastAsia="Times New Roman" w:hAnsi="Times New Roman" w:cs="Times New Roman"/>
          <w:sz w:val="28"/>
          <w:szCs w:val="28"/>
        </w:rPr>
        <w:t xml:space="preserve">ксперименту склав 36-45 років, відповідно середній вік учасниць – 39,5 років, коефіцієнт варіації за всіма досліджуваними показниками не перевищував 10 %, а отже вибірку можна вважати однорідною.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Аналогічні висновки були зроблені і в процесі аналізу антро</w:t>
      </w:r>
      <w:r>
        <w:rPr>
          <w:rFonts w:ascii="Times New Roman" w:eastAsia="Times New Roman" w:hAnsi="Times New Roman" w:cs="Times New Roman"/>
          <w:sz w:val="28"/>
          <w:szCs w:val="28"/>
        </w:rPr>
        <w:t xml:space="preserve">пометричних показників чоловіків, котрих було залучено до експерименту (табл. 3.1). </w:t>
      </w:r>
    </w:p>
    <w:p w:rsidR="000B2DA2" w:rsidRDefault="00253DD5">
      <w:pPr>
        <w:spacing w:after="0" w:line="360" w:lineRule="auto"/>
        <w:ind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3.1</w:t>
      </w:r>
    </w:p>
    <w:p w:rsidR="000B2DA2" w:rsidRDefault="00253DD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Середньостатистичні значення антропометричних показників чоловіків та жінок 36-45 років</w:t>
      </w:r>
    </w:p>
    <w:tbl>
      <w:tblPr>
        <w:tblStyle w:val="afa"/>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5"/>
        <w:gridCol w:w="1648"/>
        <w:gridCol w:w="1649"/>
        <w:gridCol w:w="1649"/>
      </w:tblGrid>
      <w:tr w:rsidR="000B2DA2">
        <w:tc>
          <w:tcPr>
            <w:tcW w:w="4405" w:type="dxa"/>
            <w:shd w:val="clear" w:color="auto" w:fill="auto"/>
          </w:tcPr>
          <w:p w:rsidR="000B2DA2" w:rsidRDefault="00253DD5">
            <w:pPr>
              <w:spacing w:before="96" w:after="96"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w:t>
            </w:r>
          </w:p>
        </w:tc>
        <w:tc>
          <w:tcPr>
            <w:tcW w:w="1648" w:type="dxa"/>
            <w:shd w:val="clear" w:color="auto" w:fill="auto"/>
            <w:vAlign w:val="center"/>
          </w:tcPr>
          <w:p w:rsidR="000B2DA2" w:rsidRDefault="00253DD5">
            <w:pPr>
              <w:widowControl w:val="0"/>
              <w:spacing w:before="96" w:after="96"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46"/>
                <w:szCs w:val="46"/>
                <w:vertAlign w:val="subscript"/>
              </w:rPr>
              <w:object w:dxaOrig="234" w:dyaOrig="301">
                <v:shape id="_x0000_i1026" type="#_x0000_t75" style="width:12pt;height:15pt" o:ole="">
                  <v:imagedata r:id="rId9" o:title=""/>
                </v:shape>
                <o:OLEObject Type="Embed" ProgID="Equation.3" ShapeID="_x0000_i1026" DrawAspect="Content" ObjectID="_1796755522" r:id="rId11"/>
              </w:object>
            </w:r>
          </w:p>
        </w:tc>
        <w:tc>
          <w:tcPr>
            <w:tcW w:w="1649" w:type="dxa"/>
            <w:shd w:val="clear" w:color="auto" w:fill="auto"/>
            <w:vAlign w:val="center"/>
          </w:tcPr>
          <w:p w:rsidR="000B2DA2" w:rsidRDefault="00253DD5">
            <w:pPr>
              <w:widowControl w:val="0"/>
              <w:spacing w:before="96" w:after="96"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V, %</w:t>
            </w:r>
          </w:p>
        </w:tc>
      </w:tr>
      <w:tr w:rsidR="000B2DA2">
        <w:tc>
          <w:tcPr>
            <w:tcW w:w="9351" w:type="dxa"/>
            <w:gridSpan w:val="4"/>
            <w:shd w:val="clear" w:color="auto" w:fill="auto"/>
          </w:tcPr>
          <w:p w:rsidR="000B2DA2" w:rsidRDefault="00253DD5">
            <w:pPr>
              <w:spacing w:before="96" w:after="96"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жінки </w:t>
            </w:r>
            <w:r>
              <w:rPr>
                <w:rFonts w:ascii="Times New Roman" w:eastAsia="Times New Roman" w:hAnsi="Times New Roman" w:cs="Times New Roman"/>
                <w:i/>
                <w:color w:val="000000"/>
                <w:sz w:val="28"/>
                <w:szCs w:val="28"/>
              </w:rPr>
              <w:t>(n=8)</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роки</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5,28</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6,1</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Довжина тіла, см</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171,5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Маса тіла, см</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68,6</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7,9</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ІМТ, </w:t>
            </w:r>
            <w:r>
              <w:rPr>
                <w:rFonts w:ascii="Times New Roman" w:eastAsia="Times New Roman" w:hAnsi="Times New Roman" w:cs="Times New Roman"/>
                <w:sz w:val="28"/>
                <w:szCs w:val="28"/>
              </w:rPr>
              <w:t>кг·м</w:t>
            </w:r>
            <w:r>
              <w:rPr>
                <w:rFonts w:ascii="Times New Roman" w:eastAsia="Times New Roman" w:hAnsi="Times New Roman" w:cs="Times New Roman"/>
                <w:sz w:val="28"/>
                <w:szCs w:val="28"/>
                <w:vertAlign w:val="superscript"/>
              </w:rPr>
              <w:t>-2</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6,8</w:t>
            </w:r>
          </w:p>
        </w:tc>
      </w:tr>
      <w:tr w:rsidR="000B2DA2">
        <w:tc>
          <w:tcPr>
            <w:tcW w:w="9351" w:type="dxa"/>
            <w:gridSpan w:val="4"/>
            <w:shd w:val="clear" w:color="auto" w:fill="auto"/>
          </w:tcPr>
          <w:p w:rsidR="000B2DA2" w:rsidRDefault="00253DD5">
            <w:pPr>
              <w:spacing w:before="96" w:after="96" w:line="24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чоловіки (n=8) </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роки</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40,1</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Довжина тіла, см</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177,4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4,29</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6,3</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Маса тіла, см</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72,3</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ІМТ, </w:t>
            </w:r>
            <w:r>
              <w:rPr>
                <w:rFonts w:ascii="Times New Roman" w:eastAsia="Times New Roman" w:hAnsi="Times New Roman" w:cs="Times New Roman"/>
                <w:sz w:val="28"/>
                <w:szCs w:val="28"/>
              </w:rPr>
              <w:t>кг·м</w:t>
            </w:r>
            <w:r>
              <w:rPr>
                <w:rFonts w:ascii="Times New Roman" w:eastAsia="Times New Roman" w:hAnsi="Times New Roman" w:cs="Times New Roman"/>
                <w:sz w:val="28"/>
                <w:szCs w:val="28"/>
                <w:vertAlign w:val="superscript"/>
              </w:rPr>
              <w:t>-2</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r>
    </w:tbl>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показників функціонального стану серцево-судинної та дихальної систем залучених до експерименту чоловіків та жінок (табл. 3.2) свідчить про те, що  вони відповідають встановленим нормам для осіб другого періоду зрілого віку та корелюють із даними,</w:t>
      </w:r>
      <w:r>
        <w:rPr>
          <w:rFonts w:ascii="Times New Roman" w:eastAsia="Times New Roman" w:hAnsi="Times New Roman" w:cs="Times New Roman"/>
          <w:sz w:val="28"/>
          <w:szCs w:val="28"/>
        </w:rPr>
        <w:t xml:space="preserve"> котрі представлені у науковій літературі [5].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Детальний аналіз отриманих даних дав змогу встановити, що показники ЖЄЛ, отримані в процесі спірометрії, як чоловіків, так і жінок, знаходяться в межах норм, проте виявлено динаміку до зниження зазначеного по</w:t>
      </w:r>
      <w:r>
        <w:rPr>
          <w:rFonts w:ascii="Times New Roman" w:eastAsia="Times New Roman" w:hAnsi="Times New Roman" w:cs="Times New Roman"/>
          <w:sz w:val="28"/>
          <w:szCs w:val="28"/>
        </w:rPr>
        <w:t xml:space="preserve">казника з віком. Виявлена тенденція є цілком природною, оскільки, відповідно до </w:t>
      </w:r>
      <w:r>
        <w:rPr>
          <w:rFonts w:ascii="Times New Roman" w:eastAsia="Times New Roman" w:hAnsi="Times New Roman" w:cs="Times New Roman"/>
          <w:sz w:val="28"/>
          <w:szCs w:val="28"/>
        </w:rPr>
        <w:lastRenderedPageBreak/>
        <w:t xml:space="preserve">загальновизнаних даних, показник ЖЄЛ має тенденцію до щорічного зниження на 200-300 мл після 40 років. </w:t>
      </w:r>
    </w:p>
    <w:p w:rsidR="000B2DA2" w:rsidRDefault="00253DD5">
      <w:pPr>
        <w:spacing w:after="0" w:line="360" w:lineRule="auto"/>
        <w:ind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3.2</w:t>
      </w:r>
    </w:p>
    <w:p w:rsidR="000B2DA2" w:rsidRDefault="00253DD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Середньостатистичні значення показників функціонального стану серцево-судинної та дихальної систем чоловіків та жінок 36-45 років</w:t>
      </w:r>
    </w:p>
    <w:tbl>
      <w:tblPr>
        <w:tblStyle w:val="afb"/>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5"/>
        <w:gridCol w:w="1648"/>
        <w:gridCol w:w="1649"/>
        <w:gridCol w:w="1649"/>
      </w:tblGrid>
      <w:tr w:rsidR="000B2DA2">
        <w:tc>
          <w:tcPr>
            <w:tcW w:w="4405" w:type="dxa"/>
            <w:shd w:val="clear" w:color="auto" w:fill="auto"/>
          </w:tcPr>
          <w:p w:rsidR="000B2DA2" w:rsidRDefault="00253DD5">
            <w:pPr>
              <w:spacing w:before="96" w:after="96"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w:t>
            </w:r>
          </w:p>
        </w:tc>
        <w:tc>
          <w:tcPr>
            <w:tcW w:w="1648" w:type="dxa"/>
            <w:shd w:val="clear" w:color="auto" w:fill="auto"/>
            <w:vAlign w:val="center"/>
          </w:tcPr>
          <w:p w:rsidR="000B2DA2" w:rsidRDefault="00253DD5">
            <w:pPr>
              <w:widowControl w:val="0"/>
              <w:spacing w:before="96" w:after="96"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46"/>
                <w:szCs w:val="46"/>
                <w:vertAlign w:val="subscript"/>
              </w:rPr>
              <w:object w:dxaOrig="234" w:dyaOrig="301">
                <v:shape id="_x0000_i1027" type="#_x0000_t75" style="width:12pt;height:15pt" o:ole="">
                  <v:imagedata r:id="rId9" o:title=""/>
                </v:shape>
                <o:OLEObject Type="Embed" ProgID="Equation.3" ShapeID="_x0000_i1027" DrawAspect="Content" ObjectID="_1796755523" r:id="rId12"/>
              </w:object>
            </w:r>
          </w:p>
        </w:tc>
        <w:tc>
          <w:tcPr>
            <w:tcW w:w="1649" w:type="dxa"/>
            <w:shd w:val="clear" w:color="auto" w:fill="auto"/>
            <w:vAlign w:val="center"/>
          </w:tcPr>
          <w:p w:rsidR="000B2DA2" w:rsidRDefault="00253DD5">
            <w:pPr>
              <w:widowControl w:val="0"/>
              <w:spacing w:before="96" w:after="96"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V, %</w:t>
            </w:r>
          </w:p>
        </w:tc>
      </w:tr>
      <w:tr w:rsidR="000B2DA2">
        <w:tc>
          <w:tcPr>
            <w:tcW w:w="9351" w:type="dxa"/>
            <w:gridSpan w:val="4"/>
            <w:shd w:val="clear" w:color="auto" w:fill="auto"/>
          </w:tcPr>
          <w:p w:rsidR="000B2DA2" w:rsidRDefault="00253DD5">
            <w:pPr>
              <w:spacing w:before="96" w:after="96"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жінки </w:t>
            </w:r>
            <w:r>
              <w:rPr>
                <w:rFonts w:ascii="Times New Roman" w:eastAsia="Times New Roman" w:hAnsi="Times New Roman" w:cs="Times New Roman"/>
                <w:i/>
                <w:color w:val="000000"/>
                <w:sz w:val="28"/>
                <w:szCs w:val="28"/>
              </w:rPr>
              <w:t>(n=8)</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ЧСС, </w:t>
            </w:r>
            <w:r>
              <w:rPr>
                <w:rFonts w:ascii="Times New Roman" w:eastAsia="Times New Roman" w:hAnsi="Times New Roman" w:cs="Times New Roman"/>
                <w:sz w:val="28"/>
                <w:szCs w:val="28"/>
              </w:rPr>
              <w:t>уд·хв.</w:t>
            </w:r>
            <w:r>
              <w:rPr>
                <w:rFonts w:ascii="Times New Roman" w:eastAsia="Times New Roman" w:hAnsi="Times New Roman" w:cs="Times New Roman"/>
                <w:sz w:val="28"/>
                <w:szCs w:val="28"/>
                <w:vertAlign w:val="superscript"/>
              </w:rPr>
              <w:t>-1</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78,7</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6,68</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АТ</w:t>
            </w:r>
            <w:r>
              <w:rPr>
                <w:rFonts w:ascii="Times New Roman" w:eastAsia="Times New Roman" w:hAnsi="Times New Roman" w:cs="Times New Roman"/>
                <w:color w:val="000000"/>
                <w:sz w:val="28"/>
                <w:szCs w:val="28"/>
                <w:vertAlign w:val="subscript"/>
              </w:rPr>
              <w:t>сист</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мм.рт.ст.</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124,5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8,8</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АТ</w:t>
            </w:r>
            <w:r>
              <w:rPr>
                <w:rFonts w:ascii="Times New Roman" w:eastAsia="Times New Roman" w:hAnsi="Times New Roman" w:cs="Times New Roman"/>
                <w:color w:val="000000"/>
                <w:sz w:val="28"/>
                <w:szCs w:val="28"/>
                <w:vertAlign w:val="subscript"/>
              </w:rPr>
              <w:t>діаст</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мм.рт.ст.</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80,4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w:t>
            </w:r>
          </w:p>
        </w:tc>
      </w:tr>
      <w:tr w:rsidR="000B2DA2">
        <w:tc>
          <w:tcPr>
            <w:tcW w:w="4405" w:type="dxa"/>
            <w:shd w:val="clear" w:color="auto" w:fill="auto"/>
            <w:vAlign w:val="center"/>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ЖЄЛ, мл</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2984,2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258,6</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14,8</w:t>
            </w:r>
          </w:p>
        </w:tc>
      </w:tr>
      <w:tr w:rsidR="000B2DA2">
        <w:tc>
          <w:tcPr>
            <w:tcW w:w="4405" w:type="dxa"/>
            <w:shd w:val="clear" w:color="auto" w:fill="auto"/>
            <w:vAlign w:val="center"/>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Проба Штанге, с</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35,2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3,85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w:t>
            </w:r>
          </w:p>
        </w:tc>
      </w:tr>
      <w:tr w:rsidR="000B2DA2">
        <w:tc>
          <w:tcPr>
            <w:tcW w:w="4405" w:type="dxa"/>
            <w:shd w:val="clear" w:color="auto" w:fill="auto"/>
            <w:vAlign w:val="center"/>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Проба Генча, с</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20,1</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3,9</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w:t>
            </w:r>
          </w:p>
        </w:tc>
      </w:tr>
      <w:tr w:rsidR="000B2DA2">
        <w:tc>
          <w:tcPr>
            <w:tcW w:w="9351" w:type="dxa"/>
            <w:gridSpan w:val="4"/>
            <w:shd w:val="clear" w:color="auto" w:fill="auto"/>
          </w:tcPr>
          <w:p w:rsidR="000B2DA2" w:rsidRDefault="00253DD5">
            <w:pPr>
              <w:spacing w:before="96" w:after="96" w:line="24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чоловіки (n=8) </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ЧСС, </w:t>
            </w:r>
            <w:r>
              <w:rPr>
                <w:rFonts w:ascii="Times New Roman" w:eastAsia="Times New Roman" w:hAnsi="Times New Roman" w:cs="Times New Roman"/>
                <w:sz w:val="28"/>
                <w:szCs w:val="28"/>
              </w:rPr>
              <w:t>уд·хв.</w:t>
            </w:r>
            <w:r>
              <w:rPr>
                <w:rFonts w:ascii="Times New Roman" w:eastAsia="Times New Roman" w:hAnsi="Times New Roman" w:cs="Times New Roman"/>
                <w:sz w:val="28"/>
                <w:szCs w:val="28"/>
                <w:vertAlign w:val="superscript"/>
              </w:rPr>
              <w:t>-1</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83,4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3,27</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АТ</w:t>
            </w:r>
            <w:r>
              <w:rPr>
                <w:rFonts w:ascii="Times New Roman" w:eastAsia="Times New Roman" w:hAnsi="Times New Roman" w:cs="Times New Roman"/>
                <w:color w:val="000000"/>
                <w:sz w:val="28"/>
                <w:szCs w:val="28"/>
                <w:vertAlign w:val="subscript"/>
              </w:rPr>
              <w:t>сист</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мм.рт.ст.</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115,2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5,68</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7,5</w:t>
            </w:r>
          </w:p>
        </w:tc>
      </w:tr>
      <w:tr w:rsidR="000B2DA2">
        <w:tc>
          <w:tcPr>
            <w:tcW w:w="4405" w:type="dxa"/>
            <w:shd w:val="clear" w:color="auto" w:fill="auto"/>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АТ</w:t>
            </w:r>
            <w:r>
              <w:rPr>
                <w:rFonts w:ascii="Times New Roman" w:eastAsia="Times New Roman" w:hAnsi="Times New Roman" w:cs="Times New Roman"/>
                <w:color w:val="000000"/>
                <w:sz w:val="28"/>
                <w:szCs w:val="28"/>
                <w:vertAlign w:val="subscript"/>
              </w:rPr>
              <w:t>діаст</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мм.рт.ст.</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73,4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5,12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4,6</w:t>
            </w:r>
          </w:p>
        </w:tc>
      </w:tr>
      <w:tr w:rsidR="000B2DA2">
        <w:tc>
          <w:tcPr>
            <w:tcW w:w="4405" w:type="dxa"/>
            <w:shd w:val="clear" w:color="auto" w:fill="auto"/>
            <w:vAlign w:val="center"/>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ЖЄЛ, мл</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3658,4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436,5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16,3</w:t>
            </w:r>
          </w:p>
        </w:tc>
      </w:tr>
      <w:tr w:rsidR="000B2DA2">
        <w:tc>
          <w:tcPr>
            <w:tcW w:w="4405" w:type="dxa"/>
            <w:shd w:val="clear" w:color="auto" w:fill="auto"/>
            <w:vAlign w:val="center"/>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Проба Штанге, с</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39,1</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5,62</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w:t>
            </w:r>
          </w:p>
        </w:tc>
      </w:tr>
      <w:tr w:rsidR="000B2DA2">
        <w:tc>
          <w:tcPr>
            <w:tcW w:w="4405" w:type="dxa"/>
            <w:shd w:val="clear" w:color="auto" w:fill="auto"/>
            <w:vAlign w:val="center"/>
          </w:tcPr>
          <w:p w:rsidR="000B2DA2" w:rsidRDefault="00253DD5">
            <w:pPr>
              <w:spacing w:before="96" w:after="96"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Проба Генча, с</w:t>
            </w:r>
          </w:p>
        </w:tc>
        <w:tc>
          <w:tcPr>
            <w:tcW w:w="1648"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21,4</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4,25</w:t>
            </w:r>
          </w:p>
        </w:tc>
        <w:tc>
          <w:tcPr>
            <w:tcW w:w="1649" w:type="dxa"/>
            <w:shd w:val="clear" w:color="auto" w:fill="auto"/>
          </w:tcPr>
          <w:p w:rsidR="000B2DA2" w:rsidRDefault="00253DD5">
            <w:pPr>
              <w:spacing w:before="96" w:after="9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w:t>
            </w:r>
          </w:p>
        </w:tc>
      </w:tr>
    </w:tbl>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spacing w:after="0" w:line="360" w:lineRule="auto"/>
        <w:ind w:firstLine="709"/>
        <w:jc w:val="both"/>
        <w:rPr>
          <w:rFonts w:ascii="Times New Roman" w:eastAsia="Times New Roman" w:hAnsi="Times New Roman" w:cs="Times New Roman"/>
          <w:sz w:val="28"/>
          <w:szCs w:val="28"/>
        </w:rPr>
      </w:pPr>
      <w:sdt>
        <w:sdtPr>
          <w:tag w:val="goog_rdk_2"/>
          <w:id w:val="1311364842"/>
        </w:sdtPr>
        <w:sdtEndPr/>
        <w:sdtContent>
          <w:r>
            <w:rPr>
              <w:rFonts w:ascii="Gungsuh" w:eastAsia="Gungsuh" w:hAnsi="Gungsuh" w:cs="Gungsuh"/>
              <w:sz w:val="28"/>
              <w:szCs w:val="28"/>
            </w:rPr>
            <w:t>Слід також відмітити, що між результатами проб Штанге та Генча чоловіків та жінок, котрі залучені до експерименту, відсутня статистично достовірна різниця (р≥0,05), при цьому, отримані в процесі</w:t>
          </w:r>
          <w:r>
            <w:rPr>
              <w:rFonts w:ascii="Gungsuh" w:eastAsia="Gungsuh" w:hAnsi="Gungsuh" w:cs="Gungsuh"/>
              <w:sz w:val="28"/>
              <w:szCs w:val="28"/>
            </w:rPr>
            <w:t xml:space="preserve"> констатувального експерименту дані знаходяться у межах вікових норм. </w:t>
          </w:r>
        </w:sdtContent>
      </w:sdt>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ґрунтовної оцінки функціонального стану серцево-судинної системи було здійснено розрахунок індексів Робінсона та Руф’є.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Відповідно до розрахункових даних індексу Робінсона, котрий відображає рівень гемодинамічного навантаження на серцево-судинну систему, у більшості чоловіків (62,5 %) він є нижчим за середній, у 25 % – середнім, а у 12,5 % – вищим за середній. Варто зазначи</w:t>
      </w:r>
      <w:r>
        <w:rPr>
          <w:rFonts w:ascii="Times New Roman" w:eastAsia="Times New Roman" w:hAnsi="Times New Roman" w:cs="Times New Roman"/>
          <w:sz w:val="28"/>
          <w:szCs w:val="28"/>
        </w:rPr>
        <w:t xml:space="preserve">ти, що як серед чоловіків, так і серед жінок не було виявлено тих, чий показник індексу Робінсона можна було класифікувати як низький чи високий (рис. 3.1, 3.2).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260063" cy="2933958"/>
            <wp:effectExtent l="0" t="0" r="0" b="0"/>
            <wp:docPr id="42" name="Діагра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Розподіл чоловіків другого періоду зрілого віку за показниками індексу Робінсона</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Подібна тенденція виявлена і в процесі аналізу результатів жінок, котрі взяли участь у дослідженні: 50 % мають нижчий за середній рівень, 25 % –середній і ще 25 % – вищий за середній.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5315019" cy="2972077"/>
            <wp:effectExtent l="0" t="0" r="0" b="0"/>
            <wp:docPr id="44" name="Діагра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 Розподіл жінок другого періоду зрілого віку за показниками</w:t>
      </w:r>
      <w:r>
        <w:rPr>
          <w:rFonts w:ascii="Times New Roman" w:eastAsia="Times New Roman" w:hAnsi="Times New Roman" w:cs="Times New Roman"/>
          <w:sz w:val="28"/>
          <w:szCs w:val="28"/>
        </w:rPr>
        <w:t xml:space="preserve"> індексу Робінсона</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Тренованість серцево-судинної системи, швидкість відновлення ЧСС після дозованого фізичного навантаження у чоловіків та жінок 36-45 років визначали на основі індексу Руф’є (рис. 3.3, 3.4).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260063" cy="2933958"/>
            <wp:effectExtent l="0" t="0" r="0" b="0"/>
            <wp:docPr id="43" name="Діагра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3.3. Розподіл чоловіків другого періоду </w:t>
      </w:r>
      <w:r>
        <w:rPr>
          <w:rFonts w:ascii="Times New Roman" w:eastAsia="Times New Roman" w:hAnsi="Times New Roman" w:cs="Times New Roman"/>
          <w:sz w:val="28"/>
          <w:szCs w:val="28"/>
        </w:rPr>
        <w:t>зрілого віку за показниками індексу Руф’є</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дані дозволили встановити, що серед чоловіків, залучених до дослідження задовільний рівень фізичної роботоздатності мають 12,5 %, середній рівень – 62,5 %, а добрий – 25 % чоловіків.</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5260063" cy="2933958"/>
            <wp:effectExtent l="0" t="0" r="0" b="0"/>
            <wp:docPr id="46" name="Діагра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Розподіл ж</w:t>
      </w:r>
      <w:r>
        <w:rPr>
          <w:rFonts w:ascii="Times New Roman" w:eastAsia="Times New Roman" w:hAnsi="Times New Roman" w:cs="Times New Roman"/>
          <w:sz w:val="28"/>
          <w:szCs w:val="28"/>
        </w:rPr>
        <w:t>інок другого періоду зрілого віку за показниками індексу Руф’є</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чоловіків із поганим або високим рівнем фізичної роботоздатності виявлено не було.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серед жінок, які взяли участь у експерименті було виявлено 25 % із високим рівн</w:t>
      </w:r>
      <w:r>
        <w:rPr>
          <w:rFonts w:ascii="Times New Roman" w:eastAsia="Times New Roman" w:hAnsi="Times New Roman" w:cs="Times New Roman"/>
          <w:sz w:val="28"/>
          <w:szCs w:val="28"/>
        </w:rPr>
        <w:t xml:space="preserve">ем фізичної роботоздатності, 25 % – із добрим, та 50 % із середнім.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наукової літератури [35] свідчать про те, що основними показниками, які характеризують психоемоційний стан людини є її самопочуття, активність і настрій.</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в процесі експериме</w:t>
      </w:r>
      <w:r>
        <w:rPr>
          <w:rFonts w:ascii="Times New Roman" w:eastAsia="Times New Roman" w:hAnsi="Times New Roman" w:cs="Times New Roman"/>
          <w:sz w:val="28"/>
          <w:szCs w:val="28"/>
        </w:rPr>
        <w:t>нту дані засвідчили, що несприятливий стан самопочуття є притаманним для 12,5 % чоловіків, активності – 25 %, настрою – 12,5 % (рис. 3.5).</w:t>
      </w: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noProof/>
          <w:color w:val="FF0000"/>
          <w:sz w:val="28"/>
          <w:szCs w:val="28"/>
        </w:rPr>
        <w:lastRenderedPageBreak/>
        <w:drawing>
          <wp:inline distT="0" distB="0" distL="0" distR="0">
            <wp:extent cx="5486400" cy="3981456"/>
            <wp:effectExtent l="0" t="0" r="0" b="0"/>
            <wp:docPr id="45" name="Діагра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3.5 Оцінка показників самопочуття, активності, настрою чоловіків другого періоду зрілого віку</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більшості чоловіків зрілого віку, котрих було залучено до експерименту, притаманний задовільний стан самопочуття (50 %), активності (62,5) % та настрою (50 %).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Частка чоловіків, для яких притаманним є сприятливий стан самопочуття склала 37,5 %, актив</w:t>
      </w:r>
      <w:r>
        <w:rPr>
          <w:rFonts w:ascii="Times New Roman" w:eastAsia="Times New Roman" w:hAnsi="Times New Roman" w:cs="Times New Roman"/>
          <w:color w:val="000000"/>
          <w:sz w:val="28"/>
          <w:szCs w:val="28"/>
        </w:rPr>
        <w:t>ності – 12,5 %, настрою – 37,5 %.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що були отримані в процесі оцінки показників психоемоційного стану жінок другого періоду зрілого віку засвідчили, що несприятливий стан самопочуття, активності та настрою є притаманним для однакової кількості осіб, а саме для 12,5 % осіб від загально</w:t>
      </w:r>
      <w:r>
        <w:rPr>
          <w:rFonts w:ascii="Times New Roman" w:eastAsia="Times New Roman" w:hAnsi="Times New Roman" w:cs="Times New Roman"/>
          <w:sz w:val="28"/>
          <w:szCs w:val="28"/>
        </w:rPr>
        <w:t>ї кількості учасниць експерименту (рис. 3.6).</w:t>
      </w:r>
    </w:p>
    <w:p w:rsidR="000B2DA2" w:rsidRDefault="00253DD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noProof/>
          <w:color w:val="FF0000"/>
          <w:sz w:val="28"/>
          <w:szCs w:val="28"/>
        </w:rPr>
        <w:lastRenderedPageBreak/>
        <w:drawing>
          <wp:inline distT="0" distB="0" distL="0" distR="0">
            <wp:extent cx="5489575" cy="3974471"/>
            <wp:effectExtent l="0" t="0" r="0" b="0"/>
            <wp:docPr id="48" name="Діагра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3.6 Оцінка показників самопочуття, активності, настрою жінок другого періоду зрілого віку</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більшості жінок зрілого віку, як і для чоловіків, котрих було залучено до експерименту, притаманний задовільн</w:t>
      </w:r>
      <w:r>
        <w:rPr>
          <w:rFonts w:ascii="Times New Roman" w:eastAsia="Times New Roman" w:hAnsi="Times New Roman" w:cs="Times New Roman"/>
          <w:color w:val="000000"/>
          <w:sz w:val="28"/>
          <w:szCs w:val="28"/>
        </w:rPr>
        <w:t xml:space="preserve">ий стан самопочуття (62,5 %), активності (75) % та настрою (50 %).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Частка жінок, для яких притаманним є сприятливий стан самопочуття склала 25 %, активності – 12,5 %, настрою – 37,5 %.</w:t>
      </w:r>
    </w:p>
    <w:p w:rsidR="000B2DA2" w:rsidRDefault="000B2DA2">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rPr>
      </w:pP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3.2.</w:t>
      </w:r>
      <w:r>
        <w:rPr>
          <w:rFonts w:ascii="Times New Roman" w:eastAsia="Times New Roman" w:hAnsi="Times New Roman" w:cs="Times New Roman"/>
          <w:b/>
          <w:color w:val="000000"/>
          <w:sz w:val="28"/>
          <w:szCs w:val="28"/>
        </w:rPr>
        <w:tab/>
        <w:t>Мотиваційні пріоритети до занять спеціально організованою рухо</w:t>
      </w:r>
      <w:r>
        <w:rPr>
          <w:rFonts w:ascii="Times New Roman" w:eastAsia="Times New Roman" w:hAnsi="Times New Roman" w:cs="Times New Roman"/>
          <w:b/>
          <w:color w:val="000000"/>
          <w:sz w:val="28"/>
          <w:szCs w:val="28"/>
        </w:rPr>
        <w:t>вою активністю осіб другого періоду зрілого віку</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Дані О. С. Микитчик, О. М. Цуканова [27] свідчать про те, що з віком, особливо в умовах сьогодення, зростає роль мотиваційних передумов залучення осіб зрілого віку до фізкультурно-оздоровчої та рекреаційної </w:t>
      </w:r>
      <w:r>
        <w:rPr>
          <w:rFonts w:ascii="Times New Roman" w:eastAsia="Times New Roman" w:hAnsi="Times New Roman" w:cs="Times New Roman"/>
          <w:color w:val="000000"/>
          <w:sz w:val="28"/>
          <w:szCs w:val="28"/>
        </w:rPr>
        <w:t xml:space="preserve">діяльності.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Мотиви та інтереси до спеціально організованої рухової активності </w:t>
      </w:r>
      <w:r>
        <w:rPr>
          <w:rFonts w:ascii="Times New Roman" w:eastAsia="Times New Roman" w:hAnsi="Times New Roman" w:cs="Times New Roman"/>
          <w:color w:val="000000"/>
          <w:sz w:val="28"/>
          <w:szCs w:val="28"/>
        </w:rPr>
        <w:lastRenderedPageBreak/>
        <w:t>протягом життя зазнають суттєвих змін: для людей молодого віку властиве прагнення до спортивних досягнень, а в зрілому віці домінує усвідомлена потреба у заняттях фізичними впра</w:t>
      </w:r>
      <w:r>
        <w:rPr>
          <w:rFonts w:ascii="Times New Roman" w:eastAsia="Times New Roman" w:hAnsi="Times New Roman" w:cs="Times New Roman"/>
          <w:color w:val="000000"/>
          <w:sz w:val="28"/>
          <w:szCs w:val="28"/>
        </w:rPr>
        <w:t xml:space="preserve">вами, яка превалює в системі життєвих цінностей.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Рейтинг мотиваційних пріоритетів залучених до експерименту осіб представлено в табл. 3.3. </w:t>
      </w:r>
    </w:p>
    <w:p w:rsidR="000B2DA2" w:rsidRDefault="00253DD5">
      <w:pPr>
        <w:tabs>
          <w:tab w:val="left" w:pos="851"/>
        </w:tabs>
        <w:spacing w:after="0" w:line="360" w:lineRule="auto"/>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3.3</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Мотиваційні пріоритети чоловіків і жінок другого періоду зрілого віку до занять спеціально організованою руховою активністю</w:t>
      </w:r>
    </w:p>
    <w:tbl>
      <w:tblPr>
        <w:tblStyle w:val="afc"/>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1535"/>
        <w:gridCol w:w="1535"/>
        <w:gridCol w:w="1535"/>
        <w:gridCol w:w="1536"/>
      </w:tblGrid>
      <w:tr w:rsidR="000B2DA2">
        <w:tc>
          <w:tcPr>
            <w:tcW w:w="3210" w:type="dxa"/>
            <w:vMerge w:val="restart"/>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Група мотивів</w:t>
            </w:r>
          </w:p>
        </w:tc>
        <w:tc>
          <w:tcPr>
            <w:tcW w:w="3070" w:type="dxa"/>
            <w:gridSpan w:val="2"/>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(n=8)</w:t>
            </w:r>
          </w:p>
        </w:tc>
        <w:tc>
          <w:tcPr>
            <w:tcW w:w="3071" w:type="dxa"/>
            <w:gridSpan w:val="2"/>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жінки (n=8)</w:t>
            </w:r>
          </w:p>
        </w:tc>
      </w:tr>
      <w:tr w:rsidR="000B2DA2">
        <w:tc>
          <w:tcPr>
            <w:tcW w:w="3210" w:type="dxa"/>
            <w:vMerge/>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Місце у рейтингу</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Кількість осіб,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Місце у рейтингу</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осіб, % </w:t>
            </w:r>
          </w:p>
        </w:tc>
      </w:tr>
      <w:tr w:rsidR="000B2DA2">
        <w:tc>
          <w:tcPr>
            <w:tcW w:w="3210" w:type="dxa"/>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Оздоровчі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75</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62,5</w:t>
            </w:r>
          </w:p>
        </w:tc>
      </w:tr>
      <w:tr w:rsidR="000B2DA2">
        <w:tc>
          <w:tcPr>
            <w:tcW w:w="3210" w:type="dxa"/>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Естетичні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37,5</w:t>
            </w:r>
          </w:p>
        </w:tc>
      </w:tr>
      <w:tr w:rsidR="000B2DA2">
        <w:tc>
          <w:tcPr>
            <w:tcW w:w="3210" w:type="dxa"/>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Психологічні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w:t>
            </w:r>
          </w:p>
        </w:tc>
      </w:tr>
      <w:tr w:rsidR="000B2DA2">
        <w:tc>
          <w:tcPr>
            <w:tcW w:w="3210" w:type="dxa"/>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Рекреаційні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62,5</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25</w:t>
            </w:r>
          </w:p>
        </w:tc>
      </w:tr>
      <w:tr w:rsidR="000B2DA2">
        <w:tc>
          <w:tcPr>
            <w:tcW w:w="3210" w:type="dxa"/>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Особистісні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12,5</w:t>
            </w:r>
          </w:p>
        </w:tc>
      </w:tr>
      <w:tr w:rsidR="000B2DA2">
        <w:tc>
          <w:tcPr>
            <w:tcW w:w="3210" w:type="dxa"/>
          </w:tcPr>
          <w:p w:rsidR="000B2DA2" w:rsidRDefault="00253DD5">
            <w:pPr>
              <w:widowControl w:val="0"/>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Престижні </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12,5</w:t>
            </w:r>
          </w:p>
        </w:tc>
        <w:tc>
          <w:tcPr>
            <w:tcW w:w="1535"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536" w:type="dxa"/>
          </w:tcPr>
          <w:p w:rsidR="000B2DA2" w:rsidRDefault="00253DD5">
            <w:pPr>
              <w:widowControl w:val="0"/>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tc>
      </w:tr>
    </w:tbl>
    <w:p w:rsidR="000B2DA2" w:rsidRDefault="000B2DA2">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в процесі дослідження дані дозволили встановити, що мотиваційні пріоритети чоловіків і жінок мають спільні та відмінні риси. Так, перше місце у рейтингу у представників обох статей займають оздоровчі мотиви, друге – у жінок психологічні, а у чолов</w:t>
      </w:r>
      <w:r>
        <w:rPr>
          <w:rFonts w:ascii="Times New Roman" w:eastAsia="Times New Roman" w:hAnsi="Times New Roman" w:cs="Times New Roman"/>
          <w:color w:val="000000"/>
          <w:sz w:val="28"/>
          <w:szCs w:val="28"/>
        </w:rPr>
        <w:t xml:space="preserve">іків – рекреаційні, третє ж місце у представників обох статей займають естетичні мотиви.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 отримані дані свідчать про те, що першочерговим для осіб зрілого віку в процесі фізкультурно-оздоровчих занять є покращення функціональних можливостей організму </w:t>
      </w:r>
      <w:r>
        <w:rPr>
          <w:rFonts w:ascii="Times New Roman" w:eastAsia="Times New Roman" w:hAnsi="Times New Roman" w:cs="Times New Roman"/>
          <w:color w:val="000000"/>
          <w:sz w:val="28"/>
          <w:szCs w:val="28"/>
        </w:rPr>
        <w:t xml:space="preserve">та стану здоров’я загалом, а також профілактика </w:t>
      </w:r>
      <w:r>
        <w:rPr>
          <w:rFonts w:ascii="Times New Roman" w:eastAsia="Times New Roman" w:hAnsi="Times New Roman" w:cs="Times New Roman"/>
          <w:color w:val="000000"/>
          <w:sz w:val="28"/>
          <w:szCs w:val="28"/>
        </w:rPr>
        <w:lastRenderedPageBreak/>
        <w:t xml:space="preserve">захворювань та сповільнення інволюційних змін.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Психологічні мотиви, які включають підвищення самооцінки та впевненості у собі, протидію стресовим впливам та покращення нервово-психічної стійкості до дії нега</w:t>
      </w:r>
      <w:r>
        <w:rPr>
          <w:rFonts w:ascii="Times New Roman" w:eastAsia="Times New Roman" w:hAnsi="Times New Roman" w:cs="Times New Roman"/>
          <w:color w:val="000000"/>
          <w:sz w:val="28"/>
          <w:szCs w:val="28"/>
        </w:rPr>
        <w:t xml:space="preserve">тивних чинників у рейтингу мотивів жінок другого періоду зрілого віку займають друге місце.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Третє місце у рейтингу мотивів у представників обох статей займають естетичні мотиви, котрі безпосередньо пов’язані із зовнішнім виглядом, привабливістю, поставою,</w:t>
      </w:r>
      <w:r>
        <w:rPr>
          <w:rFonts w:ascii="Times New Roman" w:eastAsia="Times New Roman" w:hAnsi="Times New Roman" w:cs="Times New Roman"/>
          <w:color w:val="000000"/>
          <w:sz w:val="28"/>
          <w:szCs w:val="28"/>
        </w:rPr>
        <w:t xml:space="preserve"> фігурою, корекцією маси тіла.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Натомість у чоловіків заняття спеціально організованою руховою активністю асоційовані із активним дозвіллям, організацією вільного часу, отриманням задоволення від занять та покращенням психоемоційного стану, зокрема покращенням настрою та знаттям емоційно</w:t>
      </w:r>
      <w:r>
        <w:rPr>
          <w:rFonts w:ascii="Times New Roman" w:eastAsia="Times New Roman" w:hAnsi="Times New Roman" w:cs="Times New Roman"/>
          <w:color w:val="000000"/>
          <w:sz w:val="28"/>
          <w:szCs w:val="28"/>
        </w:rPr>
        <w:t>ї напруги.</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Особистісні та престижні мотиви займають останні місця у рейтингу мотивів чоловіків та жінок другого періоду зрілого віку до занять спеціально організованою руховою активністю. Особистісні мотиви пов’язані із підвищенням чи, принаймні, збереженн</w:t>
      </w:r>
      <w:r>
        <w:rPr>
          <w:rFonts w:ascii="Times New Roman" w:eastAsia="Times New Roman" w:hAnsi="Times New Roman" w:cs="Times New Roman"/>
          <w:color w:val="000000"/>
          <w:sz w:val="28"/>
          <w:szCs w:val="28"/>
        </w:rPr>
        <w:t xml:space="preserve">ям працездатності на необхідному для здійснення повсякденних побутових чи професійних функцій, бажанням розвиватись, отримувати нові знання, вчитися новому.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престижних мотивів варто віднести прагнення бути модним/модною, не відставати, крокувати в ногу</w:t>
      </w:r>
      <w:r>
        <w:rPr>
          <w:rFonts w:ascii="Times New Roman" w:eastAsia="Times New Roman" w:hAnsi="Times New Roman" w:cs="Times New Roman"/>
          <w:color w:val="000000"/>
          <w:sz w:val="28"/>
          <w:szCs w:val="28"/>
        </w:rPr>
        <w:t xml:space="preserve"> з часом, почуватись комфортно у суспільстві.</w:t>
      </w: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rPr>
      </w:pP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3.3.</w:t>
      </w:r>
      <w:r>
        <w:rPr>
          <w:rFonts w:ascii="Times New Roman" w:eastAsia="Times New Roman" w:hAnsi="Times New Roman" w:cs="Times New Roman"/>
          <w:b/>
          <w:color w:val="000000"/>
          <w:sz w:val="28"/>
          <w:szCs w:val="28"/>
        </w:rPr>
        <w:tab/>
        <w:t>Складові програми занять спортивними танцями для чоловіків та жінок 36-45 років</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Отримані в процесі констатувального експерименту дані підтвердили інформацію, задекларовану у наукових дослідженнях інших авторів [4, 8, 15, 18] та засвідчили актуальність залучення осіб зрілого віку до фізкультурно-оздоровчих занять спортивним танцями.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основу розробки програми оздоровчих занять спортивним танцями було покладено ряд </w:t>
      </w:r>
      <w:r>
        <w:rPr>
          <w:rFonts w:ascii="Times New Roman" w:eastAsia="Times New Roman" w:hAnsi="Times New Roman" w:cs="Times New Roman"/>
          <w:i/>
          <w:color w:val="000000"/>
          <w:sz w:val="28"/>
          <w:szCs w:val="28"/>
        </w:rPr>
        <w:t>принципів</w:t>
      </w:r>
      <w:r>
        <w:rPr>
          <w:rFonts w:ascii="Times New Roman" w:eastAsia="Times New Roman" w:hAnsi="Times New Roman" w:cs="Times New Roman"/>
          <w:color w:val="000000"/>
          <w:sz w:val="28"/>
          <w:szCs w:val="28"/>
        </w:rPr>
        <w:t xml:space="preserve">, зокрема: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індивідуалізації</w:t>
      </w:r>
      <w:r>
        <w:rPr>
          <w:rFonts w:ascii="Times New Roman" w:eastAsia="Times New Roman" w:hAnsi="Times New Roman" w:cs="Times New Roman"/>
          <w:color w:val="000000"/>
          <w:sz w:val="28"/>
          <w:szCs w:val="28"/>
        </w:rPr>
        <w:t xml:space="preserve">, котрий передбачав вибір виду рухової активності, </w:t>
      </w:r>
      <w:r>
        <w:rPr>
          <w:rFonts w:ascii="Times New Roman" w:eastAsia="Times New Roman" w:hAnsi="Times New Roman" w:cs="Times New Roman"/>
          <w:color w:val="000000"/>
          <w:sz w:val="28"/>
          <w:szCs w:val="28"/>
        </w:rPr>
        <w:lastRenderedPageBreak/>
        <w:t>засобів та методів проведення занять з урахуванням функціональних особливостей організ</w:t>
      </w:r>
      <w:r>
        <w:rPr>
          <w:rFonts w:ascii="Times New Roman" w:eastAsia="Times New Roman" w:hAnsi="Times New Roman" w:cs="Times New Roman"/>
          <w:color w:val="000000"/>
          <w:sz w:val="28"/>
          <w:szCs w:val="28"/>
        </w:rPr>
        <w:t>му осіб другого періоду зрілого віку;</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доступності, </w:t>
      </w:r>
      <w:r>
        <w:rPr>
          <w:rFonts w:ascii="Times New Roman" w:eastAsia="Times New Roman" w:hAnsi="Times New Roman" w:cs="Times New Roman"/>
          <w:color w:val="000000"/>
          <w:sz w:val="28"/>
          <w:szCs w:val="28"/>
        </w:rPr>
        <w:t>що передбачав вибір фізичних навантажень, які не перевищували фізичні можливості осіб, котрі були залучені до занять. Зазначений принцип було враховано і під час вибору виду рухової активності;</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систематичн</w:t>
      </w:r>
      <w:r>
        <w:rPr>
          <w:rFonts w:ascii="Times New Roman" w:eastAsia="Times New Roman" w:hAnsi="Times New Roman" w:cs="Times New Roman"/>
          <w:i/>
          <w:color w:val="000000"/>
          <w:sz w:val="28"/>
          <w:szCs w:val="28"/>
        </w:rPr>
        <w:t>ості</w:t>
      </w:r>
      <w:r>
        <w:rPr>
          <w:rFonts w:ascii="Times New Roman" w:eastAsia="Times New Roman" w:hAnsi="Times New Roman" w:cs="Times New Roman"/>
          <w:color w:val="000000"/>
          <w:sz w:val="28"/>
          <w:szCs w:val="28"/>
        </w:rPr>
        <w:t>, полягав у регулярному проведенні занять та уникнення тривалих перерв між ними;</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поступовості</w:t>
      </w:r>
      <w:r>
        <w:rPr>
          <w:rFonts w:ascii="Times New Roman" w:eastAsia="Times New Roman" w:hAnsi="Times New Roman" w:cs="Times New Roman"/>
          <w:color w:val="000000"/>
          <w:sz w:val="28"/>
          <w:szCs w:val="28"/>
        </w:rPr>
        <w:t>, що передбачав як підвищення навантажень шляхом збільшення їхнього обсягу та інтенсивності відповідно до функціональних та фізичних можливостей залучених до з</w:t>
      </w:r>
      <w:r>
        <w:rPr>
          <w:rFonts w:ascii="Times New Roman" w:eastAsia="Times New Roman" w:hAnsi="Times New Roman" w:cs="Times New Roman"/>
          <w:color w:val="000000"/>
          <w:sz w:val="28"/>
          <w:szCs w:val="28"/>
        </w:rPr>
        <w:t>анять осіб, так і збільшення арсеналу їхніх знань, умінь та навичок;</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оздоровчої спрямованості</w:t>
      </w:r>
      <w:r>
        <w:rPr>
          <w:rFonts w:ascii="Times New Roman" w:eastAsia="Times New Roman" w:hAnsi="Times New Roman" w:cs="Times New Roman"/>
          <w:color w:val="000000"/>
          <w:sz w:val="28"/>
          <w:szCs w:val="28"/>
        </w:rPr>
        <w:t>, передбачав підбір засобів спортивних танців, котрі сприятимуть здоров’я збереженню та здоров’я формуванню.</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Організація оздоровчих занять спортивними танцями для </w:t>
      </w:r>
      <w:r>
        <w:rPr>
          <w:rFonts w:ascii="Times New Roman" w:eastAsia="Times New Roman" w:hAnsi="Times New Roman" w:cs="Times New Roman"/>
          <w:color w:val="000000"/>
          <w:sz w:val="28"/>
          <w:szCs w:val="28"/>
        </w:rPr>
        <w:t xml:space="preserve">осіб зрілого віку, зокрема чоловіків і жінок 36-45 років, дозволила реалізувати наступні </w:t>
      </w:r>
      <w:r>
        <w:rPr>
          <w:rFonts w:ascii="Times New Roman" w:eastAsia="Times New Roman" w:hAnsi="Times New Roman" w:cs="Times New Roman"/>
          <w:i/>
          <w:color w:val="000000"/>
          <w:sz w:val="28"/>
          <w:szCs w:val="28"/>
        </w:rPr>
        <w:t>функції</w:t>
      </w:r>
      <w:r>
        <w:rPr>
          <w:rFonts w:ascii="Times New Roman" w:eastAsia="Times New Roman" w:hAnsi="Times New Roman" w:cs="Times New Roman"/>
          <w:color w:val="000000"/>
          <w:sz w:val="28"/>
          <w:szCs w:val="28"/>
        </w:rPr>
        <w:t>: дозвіллєву, комунікативну, оздоровчу, освітню, аксіологічну.</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Дозвіллєва</w:t>
      </w:r>
      <w:r>
        <w:rPr>
          <w:rFonts w:ascii="Times New Roman" w:eastAsia="Times New Roman" w:hAnsi="Times New Roman" w:cs="Times New Roman"/>
          <w:color w:val="000000"/>
          <w:sz w:val="28"/>
          <w:szCs w:val="28"/>
        </w:rPr>
        <w:t xml:space="preserve"> функція була реалізована шляхом задоволення потреби осіб зрілого віку у ​​раціональном</w:t>
      </w:r>
      <w:r>
        <w:rPr>
          <w:rFonts w:ascii="Times New Roman" w:eastAsia="Times New Roman" w:hAnsi="Times New Roman" w:cs="Times New Roman"/>
          <w:color w:val="000000"/>
          <w:sz w:val="28"/>
          <w:szCs w:val="28"/>
        </w:rPr>
        <w:t xml:space="preserve">у використанні вільного часу, активному відпочинку, можливості змінити один вид діяльності на інший.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Комунікативна</w:t>
      </w:r>
      <w:r>
        <w:rPr>
          <w:rFonts w:ascii="Times New Roman" w:eastAsia="Times New Roman" w:hAnsi="Times New Roman" w:cs="Times New Roman"/>
          <w:color w:val="000000"/>
          <w:sz w:val="28"/>
          <w:szCs w:val="28"/>
        </w:rPr>
        <w:t xml:space="preserve"> функція оздоровчих занять спортивними танцями полягала у можливості спілкування з однодумцями, задоволенні потреби людей в обміні інформаціє</w:t>
      </w:r>
      <w:r>
        <w:rPr>
          <w:rFonts w:ascii="Times New Roman" w:eastAsia="Times New Roman" w:hAnsi="Times New Roman" w:cs="Times New Roman"/>
          <w:color w:val="000000"/>
          <w:sz w:val="28"/>
          <w:szCs w:val="28"/>
        </w:rPr>
        <w:t xml:space="preserve">ю.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Оздоровча</w:t>
      </w:r>
      <w:r>
        <w:rPr>
          <w:rFonts w:ascii="Times New Roman" w:eastAsia="Times New Roman" w:hAnsi="Times New Roman" w:cs="Times New Roman"/>
          <w:color w:val="000000"/>
          <w:sz w:val="28"/>
          <w:szCs w:val="28"/>
        </w:rPr>
        <w:t xml:space="preserve"> функція полягала у сприянні зміцненню здоров’я, розвитку фізичних якостей, сповільненні процесів інволюції, підвищенні фізичної працездатності та стійкості організму до несприятливих умов праці, попередженні гіподинамії.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Освітня</w:t>
      </w:r>
      <w:r>
        <w:rPr>
          <w:rFonts w:ascii="Times New Roman" w:eastAsia="Times New Roman" w:hAnsi="Times New Roman" w:cs="Times New Roman"/>
          <w:color w:val="000000"/>
          <w:sz w:val="28"/>
          <w:szCs w:val="28"/>
        </w:rPr>
        <w:t xml:space="preserve"> функція полягала у набутті знань про здоровий спосіб життя, способи використання спеціально організованої рухової активності з метою зміцнення здоров’я, методи проведення занять та шляхи регулювання фізичних навантажень, а також у формуванні та удосконале</w:t>
      </w:r>
      <w:r>
        <w:rPr>
          <w:rFonts w:ascii="Times New Roman" w:eastAsia="Times New Roman" w:hAnsi="Times New Roman" w:cs="Times New Roman"/>
          <w:color w:val="000000"/>
          <w:sz w:val="28"/>
          <w:szCs w:val="28"/>
        </w:rPr>
        <w:t xml:space="preserve">нні рухових умінь </w:t>
      </w:r>
      <w:r>
        <w:rPr>
          <w:rFonts w:ascii="Times New Roman" w:eastAsia="Times New Roman" w:hAnsi="Times New Roman" w:cs="Times New Roman"/>
          <w:color w:val="000000"/>
          <w:sz w:val="28"/>
          <w:szCs w:val="28"/>
        </w:rPr>
        <w:lastRenderedPageBreak/>
        <w:t>та навичок.</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Аксіологічна</w:t>
      </w:r>
      <w:r>
        <w:rPr>
          <w:rFonts w:ascii="Times New Roman" w:eastAsia="Times New Roman" w:hAnsi="Times New Roman" w:cs="Times New Roman"/>
          <w:color w:val="000000"/>
          <w:sz w:val="28"/>
          <w:szCs w:val="28"/>
        </w:rPr>
        <w:t xml:space="preserve"> функція полягала у формуванні ціннісних орієнтацій осіб зрілого віку, оволодінні ними цінностями фізичної культури, котрі пов’язані із притаманними їм видами діяльності.</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Метою</w:t>
      </w:r>
      <w:r>
        <w:rPr>
          <w:rFonts w:ascii="Times New Roman" w:eastAsia="Times New Roman" w:hAnsi="Times New Roman" w:cs="Times New Roman"/>
          <w:color w:val="000000"/>
          <w:sz w:val="28"/>
          <w:szCs w:val="28"/>
        </w:rPr>
        <w:t xml:space="preserve"> програми оздоровчих занять спортивним</w:t>
      </w:r>
      <w:r>
        <w:rPr>
          <w:rFonts w:ascii="Times New Roman" w:eastAsia="Times New Roman" w:hAnsi="Times New Roman" w:cs="Times New Roman"/>
          <w:color w:val="000000"/>
          <w:sz w:val="28"/>
          <w:szCs w:val="28"/>
        </w:rPr>
        <w:t>и танцями було удосконалення показників фізичного та психоемоційного стану осіб другого періоду зрілого віку.</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З-поміж </w:t>
      </w:r>
      <w:r>
        <w:rPr>
          <w:rFonts w:ascii="Times New Roman" w:eastAsia="Times New Roman" w:hAnsi="Times New Roman" w:cs="Times New Roman"/>
          <w:i/>
          <w:color w:val="000000"/>
          <w:sz w:val="28"/>
          <w:szCs w:val="28"/>
        </w:rPr>
        <w:t>завдань</w:t>
      </w:r>
      <w:r>
        <w:rPr>
          <w:rFonts w:ascii="Times New Roman" w:eastAsia="Times New Roman" w:hAnsi="Times New Roman" w:cs="Times New Roman"/>
          <w:color w:val="000000"/>
          <w:sz w:val="28"/>
          <w:szCs w:val="28"/>
        </w:rPr>
        <w:t>, які вирішувались в процесі оздоровчих занять спортивними танцями з особами зрілого віку було виокремлено наступні:</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ab/>
        <w:t>Створення у</w:t>
      </w:r>
      <w:r>
        <w:rPr>
          <w:rFonts w:ascii="Times New Roman" w:eastAsia="Times New Roman" w:hAnsi="Times New Roman" w:cs="Times New Roman"/>
          <w:color w:val="000000"/>
          <w:sz w:val="28"/>
          <w:szCs w:val="28"/>
        </w:rPr>
        <w:t>мов для раціонального використання вільного часу, активного відпочинку, формування стійкого інтересу до занять фізичним вправами;</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ab/>
        <w:t>Сприяння зміцненню здоров’я, сповільненню процесів інволюції, підвищенню фізичної працездатності, функціональних показників</w:t>
      </w:r>
      <w:r>
        <w:rPr>
          <w:rFonts w:ascii="Times New Roman" w:eastAsia="Times New Roman" w:hAnsi="Times New Roman" w:cs="Times New Roman"/>
          <w:color w:val="000000"/>
          <w:sz w:val="28"/>
          <w:szCs w:val="28"/>
        </w:rPr>
        <w:t xml:space="preserve"> організму, стійкості організму до несприятливих чинників;</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ab/>
        <w:t>Формування арсеналу рухових умінь та навичок зі спортивних танців;</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 xml:space="preserve">Набуття знань про здоровий спосіб життя, користь спеціально організованої рухової активності для зміцнення здоров’я, методи проведення занять та шляхи регулювання фізичних навантажень.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Програма оздоровчих занять спортивними танцями для осіб зрілого віку в</w:t>
      </w:r>
      <w:r>
        <w:rPr>
          <w:rFonts w:ascii="Times New Roman" w:eastAsia="Times New Roman" w:hAnsi="Times New Roman" w:cs="Times New Roman"/>
          <w:color w:val="000000"/>
          <w:sz w:val="28"/>
          <w:szCs w:val="28"/>
        </w:rPr>
        <w:t>ключала ознайомлення з теоретичними відомостями та практичний матеріал, розподілений на розділи: хореографія в спортивних танцях, латиноамериканські танці, європейські танці, основні положення в парі, артистичність, імпровізаційні рухи.</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основних розд</w:t>
      </w:r>
      <w:r>
        <w:rPr>
          <w:rFonts w:ascii="Times New Roman" w:eastAsia="Times New Roman" w:hAnsi="Times New Roman" w:cs="Times New Roman"/>
          <w:color w:val="000000"/>
          <w:sz w:val="28"/>
          <w:szCs w:val="28"/>
        </w:rPr>
        <w:t xml:space="preserve">ілів програми оздоровчих занять спортивними танцями для осіб зрілого віку представлено в табл. 3.4. </w:t>
      </w:r>
    </w:p>
    <w:p w:rsidR="000B2DA2" w:rsidRDefault="00253DD5">
      <w:pPr>
        <w:tabs>
          <w:tab w:val="left" w:pos="851"/>
        </w:tabs>
        <w:spacing w:after="0" w:line="360" w:lineRule="auto"/>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3.4</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Програма оздоровчих занять спортивними танцями для осіб другого періоду зрілого віку</w:t>
      </w:r>
    </w:p>
    <w:tbl>
      <w:tblPr>
        <w:tblStyle w:val="afd"/>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9"/>
        <w:gridCol w:w="5670"/>
        <w:gridCol w:w="2545"/>
      </w:tblGrid>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п / п</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програми та його зміст</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Кількість годин</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Теоретичні відомості:</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історія виникнення спортивних танців;</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класифікація спортивних танців;</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занять спортивними танцями на організм людини;</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попередження травматизму під час занять спортивними танцями</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Хореографія в спортивних танцях</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танцювальних рухів, положення рук та ніг (кроки, переходи, позиції ніг; положення та рухи рук; положення та позиції голови та корпусу; баланс, хода, варіації);</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pBdr>
                <w:top w:val="nil"/>
                <w:left w:val="nil"/>
                <w:bottom w:val="nil"/>
                <w:right w:val="nil"/>
                <w:between w:val="nil"/>
              </w:pBdr>
              <w:tabs>
                <w:tab w:val="left" w:pos="142"/>
              </w:tabs>
              <w:spacing w:after="16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композиції в спортивних танцях</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Латиноамериканські танці:</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«Румба» («основний хід вперед і назад», «нью-йорк», «спот поворот»);</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«Самба» («основний хід вперед і назад», «самба хід», «вольта-крос», «ботафого в закритій та тіньовій позиції»);</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 – ча – ча» («основний хід вперед і назад», «нью-йорк», «спот поворот», «рука до руки», «алемана», «лок-степ»);</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bl>
    <w:p w:rsidR="000B2DA2" w:rsidRDefault="000B2DA2">
      <w:pPr>
        <w:rPr>
          <w:rFonts w:ascii="Times New Roman" w:eastAsia="Times New Roman" w:hAnsi="Times New Roman" w:cs="Times New Roman"/>
          <w:i/>
          <w:color w:val="000000"/>
          <w:sz w:val="28"/>
          <w:szCs w:val="28"/>
        </w:rPr>
      </w:pPr>
    </w:p>
    <w:p w:rsidR="000B2DA2" w:rsidRDefault="00253DD5">
      <w:pPr>
        <w:jc w:val="right"/>
      </w:pPr>
      <w:r>
        <w:rPr>
          <w:rFonts w:ascii="Times New Roman" w:eastAsia="Times New Roman" w:hAnsi="Times New Roman" w:cs="Times New Roman"/>
          <w:i/>
          <w:color w:val="000000"/>
          <w:sz w:val="28"/>
          <w:szCs w:val="28"/>
        </w:rPr>
        <w:t>Продовження табл. 3.4</w:t>
      </w:r>
    </w:p>
    <w:tbl>
      <w:tblPr>
        <w:tblStyle w:val="afe"/>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9"/>
        <w:gridCol w:w="5670"/>
        <w:gridCol w:w="2545"/>
      </w:tblGrid>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lastRenderedPageBreak/>
              <w:t xml:space="preserve">– </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«Джайв» («джайв-шасе», «зміна місця справа наліво», «зміна місця зліва на право», «зміна руки за спиною», «американський спин»);</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Пасодобль» («шасі в право», «сюр-плейс», «розподіл», «шістнадцять»)</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Європейські танці:  </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Танго» («хід лівою ногою», «хід правою ногою», «рок поворот», «закритий променад», «зворотний поворот»);</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Повільний вальс» («правий поворот», «крок-зміна», «лівий поворот», «віск», «шасе», «спін-поворот»);</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«Фокстрот» («крок перо», «лівий поворот», «потрійний крок», «правий поворот»);</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«Віденський вальс» («правий поворот», «лівий поворот»);</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«Квікстеп» («четвертний поворот», «лок – степ», «спин поворот»)</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Основні положення в парі:</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обличчям один до одного, спиною один до одного, стоячи в одну лінію;</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руки схресно, під руку, класичне з’єднання рук у парі, руки схресно за спиною, рука в руці (інша на пояс), партнер руки на талію</w:t>
            </w:r>
          </w:p>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партнерці – партнерка руки на плечі партнеру, стоячи обличчям один до одного</w:t>
            </w:r>
          </w:p>
        </w:tc>
        <w:tc>
          <w:tcPr>
            <w:tcW w:w="2545" w:type="dxa"/>
          </w:tcPr>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line="360" w:lineRule="auto"/>
              <w:jc w:val="center"/>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4</w:t>
            </w:r>
          </w:p>
        </w:tc>
      </w:tr>
      <w:tr w:rsidR="000B2DA2">
        <w:tc>
          <w:tcPr>
            <w:tcW w:w="1129"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6.</w:t>
            </w:r>
          </w:p>
        </w:tc>
        <w:tc>
          <w:tcPr>
            <w:tcW w:w="5670" w:type="dxa"/>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Артистичність, імпровізаційні рухи</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w:t>
            </w:r>
          </w:p>
        </w:tc>
      </w:tr>
      <w:tr w:rsidR="000B2DA2">
        <w:tc>
          <w:tcPr>
            <w:tcW w:w="6799" w:type="dxa"/>
            <w:gridSpan w:val="2"/>
          </w:tcPr>
          <w:p w:rsidR="000B2DA2" w:rsidRDefault="00253DD5">
            <w:pPr>
              <w:widowControl w:val="0"/>
              <w:tabs>
                <w:tab w:val="left" w:pos="142"/>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Загальна кількість годин </w:t>
            </w:r>
          </w:p>
        </w:tc>
        <w:tc>
          <w:tcPr>
            <w:tcW w:w="2545" w:type="dxa"/>
          </w:tcPr>
          <w:p w:rsidR="000B2DA2" w:rsidRDefault="00253DD5">
            <w:pPr>
              <w:widowControl w:val="0"/>
              <w:pBdr>
                <w:top w:val="nil"/>
                <w:left w:val="nil"/>
                <w:bottom w:val="nil"/>
                <w:right w:val="nil"/>
                <w:between w:val="nil"/>
              </w:pBdr>
              <w:tabs>
                <w:tab w:val="left" w:pos="142"/>
              </w:tabs>
              <w:spacing w:after="16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72</w:t>
            </w:r>
          </w:p>
        </w:tc>
      </w:tr>
    </w:tbl>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p>
    <w:p w:rsidR="000B2DA2" w:rsidRDefault="00253DD5">
      <w:pPr>
        <w:widowControl w:val="0"/>
        <w:tabs>
          <w:tab w:val="left" w:pos="142"/>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Блок-схема програми оздоровчих занять спортивними танцями для осіб другого періоду зрілого віку представлена на рис. 3.7.</w:t>
      </w:r>
    </w:p>
    <w:tbl>
      <w:tblPr>
        <w:tblStyle w:val="aff"/>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331"/>
        <w:gridCol w:w="1362"/>
        <w:gridCol w:w="3537"/>
      </w:tblGrid>
      <w:tr w:rsidR="000B2DA2">
        <w:tc>
          <w:tcPr>
            <w:tcW w:w="9344" w:type="dxa"/>
            <w:gridSpan w:val="4"/>
            <w:tcBorders>
              <w:bottom w:val="single" w:sz="4" w:space="0" w:color="000000"/>
            </w:tcBorders>
          </w:tcPr>
          <w:p w:rsidR="000B2DA2" w:rsidRDefault="00253DD5">
            <w:pPr>
              <w:widowControl w:val="0"/>
              <w:tabs>
                <w:tab w:val="left" w:pos="142"/>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Мета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i/>
                <w:color w:val="000000"/>
                <w:sz w:val="28"/>
                <w:szCs w:val="28"/>
              </w:rPr>
              <w:t>програми оздоровчих занять спортивними танцями</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b/>
                <w:i/>
                <w:color w:val="000000"/>
                <w:sz w:val="28"/>
                <w:szCs w:val="28"/>
              </w:rPr>
              <w:t>–</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удосконалення показників фізичного та психоемоційного стану осіб другого періоду зрілого віку</w:t>
            </w:r>
          </w:p>
        </w:tc>
      </w:tr>
      <w:tr w:rsidR="000B2DA2">
        <w:tc>
          <w:tcPr>
            <w:tcW w:w="9344" w:type="dxa"/>
            <w:gridSpan w:val="4"/>
            <w:tcBorders>
              <w:top w:val="single" w:sz="4" w:space="0" w:color="000000"/>
              <w:left w:val="nil"/>
              <w:bottom w:val="nil"/>
              <w:right w:val="nil"/>
            </w:tcBorders>
          </w:tcPr>
          <w:p w:rsidR="000B2DA2" w:rsidRDefault="00253DD5">
            <w:pPr>
              <w:widowControl w:val="0"/>
              <w:tabs>
                <w:tab w:val="left" w:pos="142"/>
              </w:tabs>
              <w:spacing w:line="360" w:lineRule="auto"/>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ЗАВДАННЯ</w:t>
            </w:r>
          </w:p>
        </w:tc>
      </w:tr>
      <w:tr w:rsidR="000B2DA2">
        <w:tc>
          <w:tcPr>
            <w:tcW w:w="9344" w:type="dxa"/>
            <w:gridSpan w:val="4"/>
            <w:tcBorders>
              <w:top w:val="nil"/>
              <w:left w:val="nil"/>
              <w:bottom w:val="nil"/>
              <w:right w:val="nil"/>
            </w:tcBorders>
          </w:tcPr>
          <w:p w:rsidR="000B2DA2" w:rsidRDefault="00253DD5">
            <w:pPr>
              <w:widowControl w:val="0"/>
              <w:tabs>
                <w:tab w:val="left" w:pos="142"/>
              </w:tabs>
              <w:spacing w:line="360" w:lineRule="auto"/>
              <w:jc w:val="center"/>
              <w:rPr>
                <w:rFonts w:ascii="Times New Roman" w:eastAsia="Times New Roman" w:hAnsi="Times New Roman" w:cs="Times New Roman"/>
                <w:b/>
                <w:i/>
                <w:color w:val="000000"/>
                <w:sz w:val="28"/>
                <w:szCs w:val="28"/>
              </w:rPr>
            </w:pPr>
            <w:r>
              <w:rPr>
                <w:noProof/>
              </w:rPr>
              <mc:AlternateContent>
                <mc:Choice Requires="wpg">
                  <w:drawing>
                    <wp:anchor distT="0" distB="0" distL="114300" distR="114300" simplePos="0" relativeHeight="251658240" behindDoc="0" locked="0" layoutInCell="1" hidden="0" allowOverlap="1">
                      <wp:simplePos x="0" y="0"/>
                      <wp:positionH relativeFrom="column">
                        <wp:posOffset>2133600</wp:posOffset>
                      </wp:positionH>
                      <wp:positionV relativeFrom="paragraph">
                        <wp:posOffset>0</wp:posOffset>
                      </wp:positionV>
                      <wp:extent cx="556260" cy="307340"/>
                      <wp:effectExtent l="0" t="0" r="0" b="0"/>
                      <wp:wrapNone/>
                      <wp:docPr id="54" name="Нашивка 54"/>
                      <wp:cNvGraphicFramePr/>
                      <a:graphic xmlns:a="http://schemas.openxmlformats.org/drawingml/2006/main">
                        <a:graphicData uri="http://schemas.microsoft.com/office/word/2010/wordprocessingShape">
                          <wps:wsp>
                            <wps:cNvSpPr/>
                            <wps:spPr>
                              <a:xfrm>
                                <a:off x="5074220" y="3632680"/>
                                <a:ext cx="543560" cy="294640"/>
                              </a:xfrm>
                              <a:prstGeom prst="chevron">
                                <a:avLst>
                                  <a:gd name="adj" fmla="val 50000"/>
                                </a:avLst>
                              </a:prstGeom>
                              <a:solidFill>
                                <a:schemeClr val="dk1"/>
                              </a:solidFill>
                              <a:ln w="12700" cap="flat" cmpd="sng">
                                <a:solidFill>
                                  <a:schemeClr val="dk1"/>
                                </a:solidFill>
                                <a:prstDash val="solid"/>
                                <a:miter lim="800000"/>
                                <a:headEnd type="none" w="sm" len="sm"/>
                                <a:tailEnd type="none" w="sm" len="sm"/>
                              </a:ln>
                            </wps:spPr>
                            <wps:txbx>
                              <w:txbxContent>
                                <w:p w:rsidR="000B2DA2" w:rsidRDefault="00253DD5">
                                  <w:pPr>
                                    <w:spacing w:line="258" w:lineRule="auto"/>
                                    <w:jc w:val="center"/>
                                    <w:textDirection w:val="btLr"/>
                                  </w:pPr>
                                  <w:r>
                                    <w:rPr>
                                      <w:color w:val="000000"/>
                                    </w:rPr>
                                    <w:t>2</w:t>
                                  </w:r>
                                </w:p>
                              </w:txbxContent>
                            </wps:txbx>
                            <wps:bodyPr spcFirstLastPara="1" wrap="square" lIns="91425" tIns="45700" rIns="91425" bIns="45700" anchor="ctr"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2133600</wp:posOffset>
                      </wp:positionH>
                      <wp:positionV relativeFrom="paragraph">
                        <wp:posOffset>0</wp:posOffset>
                      </wp:positionV>
                      <wp:extent cx="556260" cy="307340"/>
                      <wp:effectExtent b="0" l="0" r="0" t="0"/>
                      <wp:wrapNone/>
                      <wp:docPr id="54" name="image8.png"/>
                      <a:graphic>
                        <a:graphicData uri="http://schemas.openxmlformats.org/drawingml/2006/picture">
                          <pic:pic>
                            <pic:nvPicPr>
                              <pic:cNvPr id="0" name="image8.png"/>
                              <pic:cNvPicPr preferRelativeResize="0"/>
                            </pic:nvPicPr>
                            <pic:blipFill>
                              <a:blip r:embed="rId22"/>
                              <a:srcRect/>
                              <a:stretch>
                                <a:fillRect/>
                              </a:stretch>
                            </pic:blipFill>
                            <pic:spPr>
                              <a:xfrm>
                                <a:off x="0" y="0"/>
                                <a:ext cx="556260" cy="307340"/>
                              </a:xfrm>
                              <a:prstGeom prst="rect"/>
                              <a:ln/>
                            </pic:spPr>
                          </pic:pic>
                        </a:graphicData>
                      </a:graphic>
                    </wp:anchor>
                  </w:drawing>
                </mc:Fallback>
              </mc:AlternateContent>
            </w:r>
            <w:r>
              <w:rPr>
                <w:noProof/>
              </w:rPr>
              <mc:AlternateContent>
                <mc:Choice Requires="wpg">
                  <w:drawing>
                    <wp:anchor distT="0" distB="0" distL="114300" distR="114300" simplePos="0" relativeHeight="251659264" behindDoc="0" locked="0" layoutInCell="1" hidden="0" allowOverlap="1">
                      <wp:simplePos x="0" y="0"/>
                      <wp:positionH relativeFrom="column">
                        <wp:posOffset>1409700</wp:posOffset>
                      </wp:positionH>
                      <wp:positionV relativeFrom="paragraph">
                        <wp:posOffset>0</wp:posOffset>
                      </wp:positionV>
                      <wp:extent cx="556710" cy="307854"/>
                      <wp:effectExtent l="0" t="0" r="0" b="0"/>
                      <wp:wrapNone/>
                      <wp:docPr id="52" name="Нашивка 52"/>
                      <wp:cNvGraphicFramePr/>
                      <a:graphic xmlns:a="http://schemas.openxmlformats.org/drawingml/2006/main">
                        <a:graphicData uri="http://schemas.microsoft.com/office/word/2010/wordprocessingShape">
                          <wps:wsp>
                            <wps:cNvSpPr/>
                            <wps:spPr>
                              <a:xfrm>
                                <a:off x="5073995" y="3632423"/>
                                <a:ext cx="544010" cy="295154"/>
                              </a:xfrm>
                              <a:prstGeom prst="chevron">
                                <a:avLst>
                                  <a:gd name="adj" fmla="val 50000"/>
                                </a:avLst>
                              </a:prstGeom>
                              <a:solidFill>
                                <a:schemeClr val="dk1"/>
                              </a:solidFill>
                              <a:ln w="12700" cap="flat" cmpd="sng">
                                <a:solidFill>
                                  <a:schemeClr val="dk1"/>
                                </a:solidFill>
                                <a:prstDash val="solid"/>
                                <a:miter lim="800000"/>
                                <a:headEnd type="none" w="sm" len="sm"/>
                                <a:tailEnd type="none" w="sm" len="sm"/>
                              </a:ln>
                            </wps:spPr>
                            <wps:txbx>
                              <w:txbxContent>
                                <w:p w:rsidR="000B2DA2" w:rsidRDefault="00253DD5">
                                  <w:pPr>
                                    <w:spacing w:line="258" w:lineRule="auto"/>
                                    <w:jc w:val="center"/>
                                    <w:textDirection w:val="btLr"/>
                                  </w:pPr>
                                  <w:r>
                                    <w:rPr>
                                      <w:color w:val="000000"/>
                                    </w:rPr>
                                    <w:t>1</w:t>
                                  </w:r>
                                </w:p>
                              </w:txbxContent>
                            </wps:txbx>
                            <wps:bodyPr spcFirstLastPara="1" wrap="square" lIns="91425" tIns="45700" rIns="91425" bIns="45700" anchor="ctr"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1409700</wp:posOffset>
                      </wp:positionH>
                      <wp:positionV relativeFrom="paragraph">
                        <wp:posOffset>0</wp:posOffset>
                      </wp:positionV>
                      <wp:extent cx="556710" cy="307854"/>
                      <wp:effectExtent b="0" l="0" r="0" t="0"/>
                      <wp:wrapNone/>
                      <wp:docPr id="52" name="image6.png"/>
                      <a:graphic>
                        <a:graphicData uri="http://schemas.openxmlformats.org/drawingml/2006/picture">
                          <pic:pic>
                            <pic:nvPicPr>
                              <pic:cNvPr id="0" name="image6.png"/>
                              <pic:cNvPicPr preferRelativeResize="0"/>
                            </pic:nvPicPr>
                            <pic:blipFill>
                              <a:blip r:embed="rId23"/>
                              <a:srcRect/>
                              <a:stretch>
                                <a:fillRect/>
                              </a:stretch>
                            </pic:blipFill>
                            <pic:spPr>
                              <a:xfrm>
                                <a:off x="0" y="0"/>
                                <a:ext cx="556710" cy="307854"/>
                              </a:xfrm>
                              <a:prstGeom prst="rect"/>
                              <a:ln/>
                            </pic:spPr>
                          </pic:pic>
                        </a:graphicData>
                      </a:graphic>
                    </wp:anchor>
                  </w:drawing>
                </mc:Fallback>
              </mc:AlternateContent>
            </w:r>
            <w:r>
              <w:rPr>
                <w:noProof/>
              </w:rPr>
              <mc:AlternateContent>
                <mc:Choice Requires="wpg">
                  <w:drawing>
                    <wp:anchor distT="0" distB="0" distL="114300" distR="114300" simplePos="0" relativeHeight="251660288" behindDoc="0" locked="0" layoutInCell="1" hidden="0" allowOverlap="1">
                      <wp:simplePos x="0" y="0"/>
                      <wp:positionH relativeFrom="column">
                        <wp:posOffset>2857500</wp:posOffset>
                      </wp:positionH>
                      <wp:positionV relativeFrom="paragraph">
                        <wp:posOffset>0</wp:posOffset>
                      </wp:positionV>
                      <wp:extent cx="556260" cy="307340"/>
                      <wp:effectExtent l="0" t="0" r="0" b="0"/>
                      <wp:wrapNone/>
                      <wp:docPr id="55" name="Нашивка 55"/>
                      <wp:cNvGraphicFramePr/>
                      <a:graphic xmlns:a="http://schemas.openxmlformats.org/drawingml/2006/main">
                        <a:graphicData uri="http://schemas.microsoft.com/office/word/2010/wordprocessingShape">
                          <wps:wsp>
                            <wps:cNvSpPr/>
                            <wps:spPr>
                              <a:xfrm>
                                <a:off x="5074220" y="3632680"/>
                                <a:ext cx="543560" cy="294640"/>
                              </a:xfrm>
                              <a:prstGeom prst="chevron">
                                <a:avLst>
                                  <a:gd name="adj" fmla="val 50000"/>
                                </a:avLst>
                              </a:prstGeom>
                              <a:solidFill>
                                <a:schemeClr val="dk1"/>
                              </a:solidFill>
                              <a:ln w="12700" cap="flat" cmpd="sng">
                                <a:solidFill>
                                  <a:schemeClr val="dk1"/>
                                </a:solidFill>
                                <a:prstDash val="solid"/>
                                <a:miter lim="800000"/>
                                <a:headEnd type="none" w="sm" len="sm"/>
                                <a:tailEnd type="none" w="sm" len="sm"/>
                              </a:ln>
                            </wps:spPr>
                            <wps:txbx>
                              <w:txbxContent>
                                <w:p w:rsidR="000B2DA2" w:rsidRDefault="00253DD5">
                                  <w:pPr>
                                    <w:spacing w:line="258" w:lineRule="auto"/>
                                    <w:jc w:val="center"/>
                                    <w:textDirection w:val="btLr"/>
                                  </w:pPr>
                                  <w:r>
                                    <w:rPr>
                                      <w:color w:val="000000"/>
                                    </w:rPr>
                                    <w:t>3</w:t>
                                  </w:r>
                                </w:p>
                              </w:txbxContent>
                            </wps:txbx>
                            <wps:bodyPr spcFirstLastPara="1" wrap="square" lIns="91425" tIns="45700" rIns="91425" bIns="45700" anchor="ctr"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2857500</wp:posOffset>
                      </wp:positionH>
                      <wp:positionV relativeFrom="paragraph">
                        <wp:posOffset>0</wp:posOffset>
                      </wp:positionV>
                      <wp:extent cx="556260" cy="307340"/>
                      <wp:effectExtent b="0" l="0" r="0" t="0"/>
                      <wp:wrapNone/>
                      <wp:docPr id="55" name="image9.png"/>
                      <a:graphic>
                        <a:graphicData uri="http://schemas.openxmlformats.org/drawingml/2006/picture">
                          <pic:pic>
                            <pic:nvPicPr>
                              <pic:cNvPr id="0" name="image9.png"/>
                              <pic:cNvPicPr preferRelativeResize="0"/>
                            </pic:nvPicPr>
                            <pic:blipFill>
                              <a:blip r:embed="rId24"/>
                              <a:srcRect/>
                              <a:stretch>
                                <a:fillRect/>
                              </a:stretch>
                            </pic:blipFill>
                            <pic:spPr>
                              <a:xfrm>
                                <a:off x="0" y="0"/>
                                <a:ext cx="556260" cy="307340"/>
                              </a:xfrm>
                              <a:prstGeom prst="rect"/>
                              <a:ln/>
                            </pic:spPr>
                          </pic:pic>
                        </a:graphicData>
                      </a:graphic>
                    </wp:anchor>
                  </w:drawing>
                </mc:Fallback>
              </mc:AlternateContent>
            </w:r>
            <w:r>
              <w:rPr>
                <w:noProof/>
              </w:rPr>
              <mc:AlternateContent>
                <mc:Choice Requires="wpg">
                  <w:drawing>
                    <wp:anchor distT="0" distB="0" distL="114300" distR="114300" simplePos="0" relativeHeight="251661312" behindDoc="0" locked="0" layoutInCell="1" hidden="0" allowOverlap="1">
                      <wp:simplePos x="0" y="0"/>
                      <wp:positionH relativeFrom="column">
                        <wp:posOffset>3606800</wp:posOffset>
                      </wp:positionH>
                      <wp:positionV relativeFrom="paragraph">
                        <wp:posOffset>0</wp:posOffset>
                      </wp:positionV>
                      <wp:extent cx="556260" cy="307340"/>
                      <wp:effectExtent l="0" t="0" r="0" b="0"/>
                      <wp:wrapNone/>
                      <wp:docPr id="53" name="Нашивка 53"/>
                      <wp:cNvGraphicFramePr/>
                      <a:graphic xmlns:a="http://schemas.openxmlformats.org/drawingml/2006/main">
                        <a:graphicData uri="http://schemas.microsoft.com/office/word/2010/wordprocessingShape">
                          <wps:wsp>
                            <wps:cNvSpPr/>
                            <wps:spPr>
                              <a:xfrm>
                                <a:off x="5074220" y="3632680"/>
                                <a:ext cx="543560" cy="294640"/>
                              </a:xfrm>
                              <a:prstGeom prst="chevron">
                                <a:avLst>
                                  <a:gd name="adj" fmla="val 50000"/>
                                </a:avLst>
                              </a:prstGeom>
                              <a:solidFill>
                                <a:schemeClr val="dk1"/>
                              </a:solidFill>
                              <a:ln w="12700" cap="flat" cmpd="sng">
                                <a:solidFill>
                                  <a:schemeClr val="dk1"/>
                                </a:solidFill>
                                <a:prstDash val="solid"/>
                                <a:miter lim="800000"/>
                                <a:headEnd type="none" w="sm" len="sm"/>
                                <a:tailEnd type="none" w="sm" len="sm"/>
                              </a:ln>
                            </wps:spPr>
                            <wps:txbx>
                              <w:txbxContent>
                                <w:p w:rsidR="000B2DA2" w:rsidRDefault="00253DD5">
                                  <w:pPr>
                                    <w:spacing w:line="258" w:lineRule="auto"/>
                                    <w:jc w:val="center"/>
                                    <w:textDirection w:val="btLr"/>
                                  </w:pPr>
                                  <w:r>
                                    <w:rPr>
                                      <w:color w:val="000000"/>
                                    </w:rPr>
                                    <w:t>4</w:t>
                                  </w:r>
                                </w:p>
                              </w:txbxContent>
                            </wps:txbx>
                            <wps:bodyPr spcFirstLastPara="1" wrap="square" lIns="91425" tIns="45700" rIns="91425" bIns="45700" anchor="ctr"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3606800</wp:posOffset>
                      </wp:positionH>
                      <wp:positionV relativeFrom="paragraph">
                        <wp:posOffset>0</wp:posOffset>
                      </wp:positionV>
                      <wp:extent cx="556260" cy="307340"/>
                      <wp:effectExtent b="0" l="0" r="0" t="0"/>
                      <wp:wrapNone/>
                      <wp:docPr id="53" name="image7.png"/>
                      <a:graphic>
                        <a:graphicData uri="http://schemas.openxmlformats.org/drawingml/2006/picture">
                          <pic:pic>
                            <pic:nvPicPr>
                              <pic:cNvPr id="0" name="image7.png"/>
                              <pic:cNvPicPr preferRelativeResize="0"/>
                            </pic:nvPicPr>
                            <pic:blipFill>
                              <a:blip r:embed="rId25"/>
                              <a:srcRect/>
                              <a:stretch>
                                <a:fillRect/>
                              </a:stretch>
                            </pic:blipFill>
                            <pic:spPr>
                              <a:xfrm>
                                <a:off x="0" y="0"/>
                                <a:ext cx="556260" cy="307340"/>
                              </a:xfrm>
                              <a:prstGeom prst="rect"/>
                              <a:ln/>
                            </pic:spPr>
                          </pic:pic>
                        </a:graphicData>
                      </a:graphic>
                    </wp:anchor>
                  </w:drawing>
                </mc:Fallback>
              </mc:AlternateContent>
            </w:r>
          </w:p>
        </w:tc>
      </w:tr>
      <w:tr w:rsidR="000B2DA2">
        <w:tc>
          <w:tcPr>
            <w:tcW w:w="9344" w:type="dxa"/>
            <w:gridSpan w:val="4"/>
            <w:tcBorders>
              <w:top w:val="nil"/>
              <w:left w:val="nil"/>
              <w:bottom w:val="single" w:sz="4" w:space="0" w:color="000000"/>
              <w:right w:val="nil"/>
            </w:tcBorders>
          </w:tcPr>
          <w:p w:rsidR="000B2DA2" w:rsidRDefault="000B2DA2">
            <w:pPr>
              <w:widowControl w:val="0"/>
              <w:tabs>
                <w:tab w:val="left" w:pos="142"/>
              </w:tabs>
              <w:spacing w:line="360" w:lineRule="auto"/>
              <w:jc w:val="center"/>
              <w:rPr>
                <w:rFonts w:ascii="Times New Roman" w:eastAsia="Times New Roman" w:hAnsi="Times New Roman" w:cs="Times New Roman"/>
                <w:b/>
                <w:i/>
                <w:color w:val="000000"/>
                <w:sz w:val="28"/>
                <w:szCs w:val="28"/>
              </w:rPr>
            </w:pPr>
          </w:p>
        </w:tc>
      </w:tr>
      <w:tr w:rsidR="000B2DA2">
        <w:tc>
          <w:tcPr>
            <w:tcW w:w="3114" w:type="dxa"/>
            <w:tcBorders>
              <w:top w:val="single" w:sz="4" w:space="0" w:color="000000"/>
            </w:tcBorders>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Дозвіллєва</w:t>
            </w:r>
            <w:r>
              <w:rPr>
                <w:rFonts w:ascii="Times New Roman" w:eastAsia="Times New Roman" w:hAnsi="Times New Roman" w:cs="Times New Roman"/>
                <w:color w:val="000000"/>
                <w:sz w:val="28"/>
                <w:szCs w:val="28"/>
              </w:rPr>
              <w:t xml:space="preserve"> </w:t>
            </w:r>
          </w:p>
        </w:tc>
        <w:tc>
          <w:tcPr>
            <w:tcW w:w="1331" w:type="dxa"/>
            <w:vMerge w:val="restart"/>
            <w:tcBorders>
              <w:top w:val="single" w:sz="4" w:space="0" w:color="000000"/>
            </w:tcBorders>
            <w:vAlign w:val="center"/>
          </w:tcPr>
          <w:p w:rsidR="000B2DA2" w:rsidRDefault="00253DD5">
            <w:pPr>
              <w:widowControl w:val="0"/>
              <w:tabs>
                <w:tab w:val="left" w:pos="142"/>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ФУНКЦІЇ</w:t>
            </w:r>
          </w:p>
        </w:tc>
        <w:tc>
          <w:tcPr>
            <w:tcW w:w="1362" w:type="dxa"/>
            <w:vMerge w:val="restart"/>
            <w:tcBorders>
              <w:top w:val="single" w:sz="4" w:space="0" w:color="000000"/>
            </w:tcBorders>
            <w:vAlign w:val="center"/>
          </w:tcPr>
          <w:p w:rsidR="000B2DA2" w:rsidRDefault="00253DD5">
            <w:pPr>
              <w:widowControl w:val="0"/>
              <w:tabs>
                <w:tab w:val="left" w:pos="142"/>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ПРИНЦИПИ</w:t>
            </w:r>
          </w:p>
        </w:tc>
        <w:tc>
          <w:tcPr>
            <w:tcW w:w="3537" w:type="dxa"/>
            <w:tcBorders>
              <w:top w:val="single" w:sz="4" w:space="0" w:color="000000"/>
            </w:tcBorders>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Індивідуалізації</w:t>
            </w:r>
          </w:p>
        </w:tc>
      </w:tr>
      <w:tr w:rsidR="000B2DA2">
        <w:tc>
          <w:tcPr>
            <w:tcW w:w="3114" w:type="dxa"/>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Комунікативна</w:t>
            </w:r>
            <w:r>
              <w:rPr>
                <w:rFonts w:ascii="Times New Roman" w:eastAsia="Times New Roman" w:hAnsi="Times New Roman" w:cs="Times New Roman"/>
                <w:color w:val="000000"/>
                <w:sz w:val="28"/>
                <w:szCs w:val="28"/>
              </w:rPr>
              <w:t xml:space="preserve"> </w:t>
            </w:r>
          </w:p>
        </w:tc>
        <w:tc>
          <w:tcPr>
            <w:tcW w:w="1331"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362"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537" w:type="dxa"/>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Доступності</w:t>
            </w:r>
          </w:p>
        </w:tc>
      </w:tr>
      <w:tr w:rsidR="000B2DA2">
        <w:tc>
          <w:tcPr>
            <w:tcW w:w="3114" w:type="dxa"/>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Оздоровча</w:t>
            </w:r>
            <w:r>
              <w:rPr>
                <w:rFonts w:ascii="Times New Roman" w:eastAsia="Times New Roman" w:hAnsi="Times New Roman" w:cs="Times New Roman"/>
                <w:color w:val="000000"/>
                <w:sz w:val="28"/>
                <w:szCs w:val="28"/>
              </w:rPr>
              <w:t xml:space="preserve"> </w:t>
            </w:r>
          </w:p>
        </w:tc>
        <w:tc>
          <w:tcPr>
            <w:tcW w:w="1331"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362"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537" w:type="dxa"/>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Систематичності</w:t>
            </w:r>
          </w:p>
        </w:tc>
      </w:tr>
      <w:tr w:rsidR="000B2DA2">
        <w:tc>
          <w:tcPr>
            <w:tcW w:w="3114" w:type="dxa"/>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Освітня</w:t>
            </w:r>
            <w:r>
              <w:rPr>
                <w:rFonts w:ascii="Times New Roman" w:eastAsia="Times New Roman" w:hAnsi="Times New Roman" w:cs="Times New Roman"/>
                <w:color w:val="000000"/>
                <w:sz w:val="28"/>
                <w:szCs w:val="28"/>
              </w:rPr>
              <w:t xml:space="preserve"> </w:t>
            </w:r>
          </w:p>
        </w:tc>
        <w:tc>
          <w:tcPr>
            <w:tcW w:w="1331"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362"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537" w:type="dxa"/>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Поступовості</w:t>
            </w:r>
          </w:p>
        </w:tc>
      </w:tr>
      <w:tr w:rsidR="000B2DA2">
        <w:tc>
          <w:tcPr>
            <w:tcW w:w="3114" w:type="dxa"/>
            <w:tcBorders>
              <w:bottom w:val="single" w:sz="4" w:space="0" w:color="000000"/>
            </w:tcBorders>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Аксіологічна</w:t>
            </w:r>
            <w:r>
              <w:rPr>
                <w:rFonts w:ascii="Times New Roman" w:eastAsia="Times New Roman" w:hAnsi="Times New Roman" w:cs="Times New Roman"/>
                <w:color w:val="000000"/>
                <w:sz w:val="28"/>
                <w:szCs w:val="28"/>
              </w:rPr>
              <w:t xml:space="preserve"> </w:t>
            </w:r>
          </w:p>
        </w:tc>
        <w:tc>
          <w:tcPr>
            <w:tcW w:w="1331"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362" w:type="dxa"/>
            <w:vMerge/>
            <w:tcBorders>
              <w:top w:val="single" w:sz="4" w:space="0" w:color="000000"/>
            </w:tcBorders>
            <w:vAlign w:val="center"/>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537" w:type="dxa"/>
            <w:tcBorders>
              <w:bottom w:val="single" w:sz="4" w:space="0" w:color="000000"/>
            </w:tcBorders>
            <w:vAlign w:val="center"/>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Оздоровчої спрямованості</w:t>
            </w:r>
          </w:p>
        </w:tc>
      </w:tr>
      <w:tr w:rsidR="000B2DA2">
        <w:tc>
          <w:tcPr>
            <w:tcW w:w="9344" w:type="dxa"/>
            <w:gridSpan w:val="4"/>
            <w:tcBorders>
              <w:top w:val="nil"/>
              <w:left w:val="nil"/>
              <w:bottom w:val="nil"/>
              <w:right w:val="nil"/>
            </w:tcBorders>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noProof/>
              </w:rPr>
              <mc:AlternateContent>
                <mc:Choice Requires="wpg">
                  <w:drawing>
                    <wp:anchor distT="0" distB="0" distL="114300" distR="114300" simplePos="0" relativeHeight="251662336" behindDoc="0" locked="0" layoutInCell="1" hidden="0" allowOverlap="1">
                      <wp:simplePos x="0" y="0"/>
                      <wp:positionH relativeFrom="column">
                        <wp:posOffset>698500</wp:posOffset>
                      </wp:positionH>
                      <wp:positionV relativeFrom="paragraph">
                        <wp:posOffset>25400</wp:posOffset>
                      </wp:positionV>
                      <wp:extent cx="4297621" cy="586858"/>
                      <wp:effectExtent l="0" t="0" r="0" b="0"/>
                      <wp:wrapNone/>
                      <wp:docPr id="57" name="Стрічка лицем донизу 57"/>
                      <wp:cNvGraphicFramePr/>
                      <a:graphic xmlns:a="http://schemas.openxmlformats.org/drawingml/2006/main">
                        <a:graphicData uri="http://schemas.microsoft.com/office/word/2010/wordprocessingShape">
                          <wps:wsp>
                            <wps:cNvSpPr/>
                            <wps:spPr>
                              <a:xfrm>
                                <a:off x="3203540" y="3492921"/>
                                <a:ext cx="4284921" cy="574158"/>
                              </a:xfrm>
                              <a:prstGeom prst="ribbon">
                                <a:avLst>
                                  <a:gd name="adj1" fmla="val 16667"/>
                                  <a:gd name="adj2" fmla="val 50000"/>
                                </a:avLst>
                              </a:prstGeom>
                              <a:solidFill>
                                <a:schemeClr val="lt1"/>
                              </a:solidFill>
                              <a:ln w="12700" cap="flat" cmpd="sng">
                                <a:solidFill>
                                  <a:schemeClr val="dk1"/>
                                </a:solidFill>
                                <a:prstDash val="solid"/>
                                <a:miter lim="800000"/>
                                <a:headEnd type="none" w="sm" len="sm"/>
                                <a:tailEnd type="none" w="sm" len="sm"/>
                              </a:ln>
                            </wps:spPr>
                            <wps:txbx>
                              <w:txbxContent>
                                <w:p w:rsidR="000B2DA2" w:rsidRDefault="00253DD5">
                                  <w:pPr>
                                    <w:spacing w:line="258" w:lineRule="auto"/>
                                    <w:jc w:val="center"/>
                                    <w:textDirection w:val="btLr"/>
                                  </w:pPr>
                                  <w:r>
                                    <w:rPr>
                                      <w:rFonts w:ascii="Times New Roman" w:eastAsia="Times New Roman" w:hAnsi="Times New Roman" w:cs="Times New Roman"/>
                                      <w:b/>
                                      <w:i/>
                                      <w:color w:val="000000"/>
                                      <w:sz w:val="28"/>
                                    </w:rPr>
                                    <w:t>ПРОГРАМА</w:t>
                                  </w:r>
                                </w:p>
                              </w:txbxContent>
                            </wps:txbx>
                            <wps:bodyPr spcFirstLastPara="1" wrap="square" lIns="91425" tIns="45700" rIns="91425" bIns="45700" anchor="ctr"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698500</wp:posOffset>
                      </wp:positionH>
                      <wp:positionV relativeFrom="paragraph">
                        <wp:posOffset>25400</wp:posOffset>
                      </wp:positionV>
                      <wp:extent cx="4297621" cy="586858"/>
                      <wp:effectExtent b="0" l="0" r="0" t="0"/>
                      <wp:wrapNone/>
                      <wp:docPr id="57" name="image11.png"/>
                      <a:graphic>
                        <a:graphicData uri="http://schemas.openxmlformats.org/drawingml/2006/picture">
                          <pic:pic>
                            <pic:nvPicPr>
                              <pic:cNvPr id="0" name="image11.png"/>
                              <pic:cNvPicPr preferRelativeResize="0"/>
                            </pic:nvPicPr>
                            <pic:blipFill>
                              <a:blip r:embed="rId26"/>
                              <a:srcRect/>
                              <a:stretch>
                                <a:fillRect/>
                              </a:stretch>
                            </pic:blipFill>
                            <pic:spPr>
                              <a:xfrm>
                                <a:off x="0" y="0"/>
                                <a:ext cx="4297621" cy="586858"/>
                              </a:xfrm>
                              <a:prstGeom prst="rect"/>
                              <a:ln/>
                            </pic:spPr>
                          </pic:pic>
                        </a:graphicData>
                      </a:graphic>
                    </wp:anchor>
                  </w:drawing>
                </mc:Fallback>
              </mc:AlternateContent>
            </w:r>
          </w:p>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r>
      <w:tr w:rsidR="000B2DA2">
        <w:tc>
          <w:tcPr>
            <w:tcW w:w="3114" w:type="dxa"/>
            <w:tcBorders>
              <w:top w:val="nil"/>
              <w:left w:val="nil"/>
              <w:bottom w:val="single" w:sz="4" w:space="0" w:color="000000"/>
              <w:right w:val="nil"/>
            </w:tcBorders>
          </w:tcPr>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c>
          <w:tcPr>
            <w:tcW w:w="1331" w:type="dxa"/>
            <w:tcBorders>
              <w:top w:val="nil"/>
              <w:left w:val="nil"/>
              <w:bottom w:val="single" w:sz="4" w:space="0" w:color="000000"/>
              <w:right w:val="nil"/>
            </w:tcBorders>
          </w:tcPr>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c>
          <w:tcPr>
            <w:tcW w:w="1362" w:type="dxa"/>
            <w:tcBorders>
              <w:top w:val="nil"/>
              <w:left w:val="nil"/>
              <w:bottom w:val="single" w:sz="4" w:space="0" w:color="000000"/>
              <w:right w:val="nil"/>
            </w:tcBorders>
          </w:tcPr>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c>
          <w:tcPr>
            <w:tcW w:w="3537" w:type="dxa"/>
            <w:tcBorders>
              <w:top w:val="nil"/>
              <w:left w:val="nil"/>
              <w:bottom w:val="single" w:sz="4" w:space="0" w:color="000000"/>
              <w:right w:val="nil"/>
            </w:tcBorders>
          </w:tcPr>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r>
      <w:tr w:rsidR="000B2DA2">
        <w:tc>
          <w:tcPr>
            <w:tcW w:w="4445" w:type="dxa"/>
            <w:gridSpan w:val="2"/>
            <w:tcBorders>
              <w:top w:val="single" w:sz="4" w:space="0" w:color="000000"/>
              <w:bottom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Теоретичні відомості</w:t>
            </w:r>
          </w:p>
        </w:tc>
        <w:tc>
          <w:tcPr>
            <w:tcW w:w="4899" w:type="dxa"/>
            <w:gridSpan w:val="2"/>
            <w:tcBorders>
              <w:top w:val="single" w:sz="4" w:space="0" w:color="000000"/>
              <w:bottom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Практичний матеріал</w:t>
            </w:r>
          </w:p>
        </w:tc>
      </w:tr>
      <w:tr w:rsidR="000B2DA2">
        <w:tc>
          <w:tcPr>
            <w:tcW w:w="4445" w:type="dxa"/>
            <w:gridSpan w:val="2"/>
            <w:vMerge w:val="restart"/>
            <w:tcBorders>
              <w:top w:val="single" w:sz="4" w:space="0" w:color="000000"/>
              <w:left w:val="nil"/>
              <w:bottom w:val="nil"/>
              <w:right w:val="single" w:sz="4" w:space="0" w:color="000000"/>
            </w:tcBorders>
          </w:tcPr>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c>
          <w:tcPr>
            <w:tcW w:w="4899" w:type="dxa"/>
            <w:gridSpan w:val="2"/>
            <w:tcBorders>
              <w:left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Хореографія в спортивних танцях</w:t>
            </w:r>
          </w:p>
        </w:tc>
      </w:tr>
      <w:tr w:rsidR="000B2DA2">
        <w:tc>
          <w:tcPr>
            <w:tcW w:w="4445" w:type="dxa"/>
            <w:gridSpan w:val="2"/>
            <w:vMerge/>
            <w:tcBorders>
              <w:top w:val="single" w:sz="4" w:space="0" w:color="000000"/>
              <w:left w:val="nil"/>
              <w:bottom w:val="nil"/>
              <w:right w:val="single" w:sz="4" w:space="0" w:color="000000"/>
            </w:tcBorders>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899" w:type="dxa"/>
            <w:gridSpan w:val="2"/>
            <w:tcBorders>
              <w:left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Латиноамериканські танці</w:t>
            </w:r>
          </w:p>
        </w:tc>
      </w:tr>
      <w:tr w:rsidR="000B2DA2">
        <w:tc>
          <w:tcPr>
            <w:tcW w:w="4445" w:type="dxa"/>
            <w:gridSpan w:val="2"/>
            <w:vMerge/>
            <w:tcBorders>
              <w:top w:val="single" w:sz="4" w:space="0" w:color="000000"/>
              <w:left w:val="nil"/>
              <w:bottom w:val="nil"/>
              <w:right w:val="single" w:sz="4" w:space="0" w:color="000000"/>
            </w:tcBorders>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899" w:type="dxa"/>
            <w:gridSpan w:val="2"/>
            <w:tcBorders>
              <w:left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Європейські танці</w:t>
            </w:r>
          </w:p>
        </w:tc>
      </w:tr>
      <w:tr w:rsidR="000B2DA2">
        <w:tc>
          <w:tcPr>
            <w:tcW w:w="4445" w:type="dxa"/>
            <w:gridSpan w:val="2"/>
            <w:vMerge/>
            <w:tcBorders>
              <w:top w:val="single" w:sz="4" w:space="0" w:color="000000"/>
              <w:left w:val="nil"/>
              <w:bottom w:val="nil"/>
              <w:right w:val="single" w:sz="4" w:space="0" w:color="000000"/>
            </w:tcBorders>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i/>
                <w:color w:val="000000"/>
                <w:sz w:val="28"/>
                <w:szCs w:val="28"/>
              </w:rPr>
            </w:pPr>
          </w:p>
        </w:tc>
        <w:tc>
          <w:tcPr>
            <w:tcW w:w="4899" w:type="dxa"/>
            <w:gridSpan w:val="2"/>
            <w:tcBorders>
              <w:left w:val="single" w:sz="4" w:space="0" w:color="000000"/>
              <w:bottom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Основні положення в парі</w:t>
            </w:r>
          </w:p>
        </w:tc>
      </w:tr>
      <w:tr w:rsidR="000B2DA2">
        <w:tc>
          <w:tcPr>
            <w:tcW w:w="4445" w:type="dxa"/>
            <w:gridSpan w:val="2"/>
            <w:vMerge/>
            <w:tcBorders>
              <w:top w:val="single" w:sz="4" w:space="0" w:color="000000"/>
              <w:left w:val="nil"/>
              <w:bottom w:val="nil"/>
              <w:right w:val="single" w:sz="4" w:space="0" w:color="000000"/>
            </w:tcBorders>
          </w:tcPr>
          <w:p w:rsidR="000B2DA2" w:rsidRDefault="000B2DA2">
            <w:pPr>
              <w:widowControl w:val="0"/>
              <w:pBdr>
                <w:top w:val="nil"/>
                <w:left w:val="nil"/>
                <w:bottom w:val="nil"/>
                <w:right w:val="nil"/>
                <w:between w:val="nil"/>
              </w:pBdr>
              <w:spacing w:line="276" w:lineRule="auto"/>
              <w:rPr>
                <w:rFonts w:ascii="Times New Roman" w:eastAsia="Times New Roman" w:hAnsi="Times New Roman" w:cs="Times New Roman"/>
                <w:i/>
                <w:color w:val="000000"/>
                <w:sz w:val="28"/>
                <w:szCs w:val="28"/>
              </w:rPr>
            </w:pPr>
          </w:p>
        </w:tc>
        <w:tc>
          <w:tcPr>
            <w:tcW w:w="4899" w:type="dxa"/>
            <w:gridSpan w:val="2"/>
            <w:tcBorders>
              <w:left w:val="single" w:sz="4" w:space="0" w:color="000000"/>
              <w:bottom w:val="single" w:sz="4" w:space="0" w:color="000000"/>
            </w:tcBorders>
          </w:tcPr>
          <w:p w:rsidR="000B2DA2" w:rsidRDefault="00253DD5">
            <w:pPr>
              <w:widowControl w:val="0"/>
              <w:tabs>
                <w:tab w:val="left" w:pos="142"/>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Артистичність, імпровізаційні рухи</w:t>
            </w:r>
          </w:p>
        </w:tc>
      </w:tr>
      <w:tr w:rsidR="000B2DA2">
        <w:tc>
          <w:tcPr>
            <w:tcW w:w="4445" w:type="dxa"/>
            <w:gridSpan w:val="2"/>
            <w:tcBorders>
              <w:top w:val="nil"/>
              <w:left w:val="nil"/>
              <w:bottom w:val="nil"/>
              <w:right w:val="nil"/>
            </w:tcBorders>
          </w:tcPr>
          <w:p w:rsidR="000B2DA2" w:rsidRDefault="000B2DA2">
            <w:pPr>
              <w:widowControl w:val="0"/>
              <w:tabs>
                <w:tab w:val="left" w:pos="142"/>
              </w:tabs>
              <w:spacing w:line="360" w:lineRule="auto"/>
              <w:jc w:val="both"/>
              <w:rPr>
                <w:rFonts w:ascii="Times New Roman" w:eastAsia="Times New Roman" w:hAnsi="Times New Roman" w:cs="Times New Roman"/>
                <w:sz w:val="28"/>
                <w:szCs w:val="28"/>
              </w:rPr>
            </w:pPr>
          </w:p>
        </w:tc>
        <w:tc>
          <w:tcPr>
            <w:tcW w:w="4899" w:type="dxa"/>
            <w:gridSpan w:val="2"/>
            <w:tcBorders>
              <w:top w:val="single" w:sz="4" w:space="0" w:color="000000"/>
              <w:left w:val="nil"/>
              <w:bottom w:val="nil"/>
              <w:right w:val="nil"/>
            </w:tcBorders>
          </w:tcPr>
          <w:p w:rsidR="000B2DA2" w:rsidRDefault="00253DD5">
            <w:pPr>
              <w:widowControl w:val="0"/>
              <w:tabs>
                <w:tab w:val="left" w:pos="142"/>
              </w:tabs>
              <w:spacing w:line="360" w:lineRule="auto"/>
              <w:jc w:val="both"/>
              <w:rPr>
                <w:rFonts w:ascii="Times New Roman" w:eastAsia="Times New Roman" w:hAnsi="Times New Roman" w:cs="Times New Roman"/>
                <w:i/>
                <w:color w:val="000000"/>
                <w:sz w:val="28"/>
                <w:szCs w:val="28"/>
              </w:rPr>
            </w:pPr>
            <w:r>
              <w:rPr>
                <w:noProof/>
              </w:rPr>
              <mc:AlternateContent>
                <mc:Choice Requires="wpg">
                  <w:drawing>
                    <wp:anchor distT="0" distB="0" distL="114300" distR="114300" simplePos="0" relativeHeight="251663360" behindDoc="0" locked="0" layoutInCell="1" hidden="0" allowOverlap="1">
                      <wp:simplePos x="0" y="0"/>
                      <wp:positionH relativeFrom="column">
                        <wp:posOffset>-2705099</wp:posOffset>
                      </wp:positionH>
                      <wp:positionV relativeFrom="paragraph">
                        <wp:posOffset>0</wp:posOffset>
                      </wp:positionV>
                      <wp:extent cx="5644847" cy="254656"/>
                      <wp:effectExtent l="0" t="0" r="0" b="0"/>
                      <wp:wrapNone/>
                      <wp:docPr id="56" name="Права фігурна дужка 56"/>
                      <wp:cNvGraphicFramePr/>
                      <a:graphic xmlns:a="http://schemas.openxmlformats.org/drawingml/2006/main">
                        <a:graphicData uri="http://schemas.microsoft.com/office/word/2010/wordprocessingShape">
                          <wps:wsp>
                            <wps:cNvSpPr/>
                            <wps:spPr>
                              <a:xfrm rot="5400000">
                                <a:off x="5223435" y="962339"/>
                                <a:ext cx="245131" cy="5635322"/>
                              </a:xfrm>
                              <a:prstGeom prst="rightBrace">
                                <a:avLst>
                                  <a:gd name="adj1" fmla="val 8333"/>
                                  <a:gd name="adj2" fmla="val 50000"/>
                                </a:avLst>
                              </a:prstGeom>
                              <a:noFill/>
                              <a:ln w="9525" cap="flat" cmpd="sng">
                                <a:solidFill>
                                  <a:schemeClr val="dk1"/>
                                </a:solidFill>
                                <a:prstDash val="solid"/>
                                <a:miter lim="800000"/>
                                <a:headEnd type="none" w="sm" len="sm"/>
                                <a:tailEnd type="none" w="sm" len="sm"/>
                              </a:ln>
                            </wps:spPr>
                            <wps:txbx>
                              <w:txbxContent>
                                <w:p w:rsidR="000B2DA2" w:rsidRDefault="000B2DA2">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-2705099</wp:posOffset>
                      </wp:positionH>
                      <wp:positionV relativeFrom="paragraph">
                        <wp:posOffset>0</wp:posOffset>
                      </wp:positionV>
                      <wp:extent cx="5644847" cy="254656"/>
                      <wp:effectExtent b="0" l="0" r="0" t="0"/>
                      <wp:wrapNone/>
                      <wp:docPr id="56" name="image10.png"/>
                      <a:graphic>
                        <a:graphicData uri="http://schemas.openxmlformats.org/drawingml/2006/picture">
                          <pic:pic>
                            <pic:nvPicPr>
                              <pic:cNvPr id="0" name="image10.png"/>
                              <pic:cNvPicPr preferRelativeResize="0"/>
                            </pic:nvPicPr>
                            <pic:blipFill>
                              <a:blip r:embed="rId27"/>
                              <a:srcRect/>
                              <a:stretch>
                                <a:fillRect/>
                              </a:stretch>
                            </pic:blipFill>
                            <pic:spPr>
                              <a:xfrm>
                                <a:off x="0" y="0"/>
                                <a:ext cx="5644847" cy="254656"/>
                              </a:xfrm>
                              <a:prstGeom prst="rect"/>
                              <a:ln/>
                            </pic:spPr>
                          </pic:pic>
                        </a:graphicData>
                      </a:graphic>
                    </wp:anchor>
                  </w:drawing>
                </mc:Fallback>
              </mc:AlternateContent>
            </w:r>
          </w:p>
        </w:tc>
      </w:tr>
      <w:tr w:rsidR="000B2DA2">
        <w:tc>
          <w:tcPr>
            <w:tcW w:w="9344" w:type="dxa"/>
            <w:gridSpan w:val="4"/>
            <w:tcBorders>
              <w:top w:val="single" w:sz="4" w:space="0" w:color="000000"/>
              <w:left w:val="single" w:sz="4" w:space="0" w:color="000000"/>
              <w:bottom w:val="single" w:sz="4" w:space="0" w:color="000000"/>
            </w:tcBorders>
          </w:tcPr>
          <w:p w:rsidR="000B2DA2" w:rsidRDefault="00253DD5">
            <w:pPr>
              <w:widowControl w:val="0"/>
              <w:tabs>
                <w:tab w:val="left" w:pos="142"/>
              </w:tabs>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КРИТЕРІЇ ЕФЕКТИВНОСТІ</w:t>
            </w:r>
          </w:p>
          <w:p w:rsidR="000B2DA2" w:rsidRDefault="00253DD5">
            <w:pPr>
              <w:widowControl w:val="0"/>
              <w:numPr>
                <w:ilvl w:val="0"/>
                <w:numId w:val="2"/>
              </w:numPr>
              <w:pBdr>
                <w:top w:val="nil"/>
                <w:left w:val="nil"/>
                <w:bottom w:val="nil"/>
                <w:right w:val="nil"/>
                <w:between w:val="nil"/>
              </w:pBdr>
              <w:tabs>
                <w:tab w:val="left" w:pos="142"/>
              </w:tabs>
              <w:spacing w:line="259"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показники фізичного стану</w:t>
            </w:r>
          </w:p>
          <w:p w:rsidR="000B2DA2" w:rsidRDefault="00253DD5">
            <w:pPr>
              <w:widowControl w:val="0"/>
              <w:numPr>
                <w:ilvl w:val="0"/>
                <w:numId w:val="2"/>
              </w:numPr>
              <w:pBdr>
                <w:top w:val="nil"/>
                <w:left w:val="nil"/>
                <w:bottom w:val="nil"/>
                <w:right w:val="nil"/>
                <w:between w:val="nil"/>
              </w:pBdr>
              <w:tabs>
                <w:tab w:val="left" w:pos="142"/>
              </w:tabs>
              <w:spacing w:after="160" w:line="259" w:lineRule="auto"/>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i/>
                <w:color w:val="000000"/>
                <w:sz w:val="28"/>
                <w:szCs w:val="28"/>
              </w:rPr>
              <w:lastRenderedPageBreak/>
              <w:t>показники психоемоційного стану</w:t>
            </w:r>
          </w:p>
        </w:tc>
      </w:tr>
    </w:tbl>
    <w:p w:rsidR="000B2DA2" w:rsidRDefault="000B2DA2">
      <w:pPr>
        <w:widowControl w:val="0"/>
        <w:tabs>
          <w:tab w:val="left" w:pos="142"/>
        </w:tabs>
        <w:spacing w:after="0" w:line="360" w:lineRule="auto"/>
        <w:ind w:firstLine="709"/>
        <w:jc w:val="both"/>
        <w:rPr>
          <w:rFonts w:ascii="Times New Roman" w:eastAsia="Times New Roman" w:hAnsi="Times New Roman" w:cs="Times New Roman"/>
          <w:sz w:val="28"/>
          <w:szCs w:val="28"/>
        </w:rPr>
      </w:pPr>
    </w:p>
    <w:p w:rsidR="000B2DA2" w:rsidRDefault="00253DD5">
      <w:pPr>
        <w:widowControl w:val="0"/>
        <w:tabs>
          <w:tab w:val="left" w:pos="142"/>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3.7 Блок-схема програми оздоровчих занять спортивними танцями для осіб другого періоду зрілого віку </w:t>
      </w:r>
    </w:p>
    <w:p w:rsidR="000B2DA2" w:rsidRDefault="00253DD5">
      <w:pPr>
        <w:widowControl w:val="0"/>
        <w:tabs>
          <w:tab w:val="left" w:pos="142"/>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оздоровчих занять спортивними танцями включала три частини: підготовчу, основну та заключну. У підготовчій частині приділяли увагу підготовці опорно-рухового апарату до подальшого навантаження і використовували вправи на гнучкість протягом 2-3 хв</w:t>
      </w:r>
      <w:r>
        <w:rPr>
          <w:rFonts w:ascii="Times New Roman" w:eastAsia="Times New Roman" w:hAnsi="Times New Roman" w:cs="Times New Roman"/>
          <w:sz w:val="28"/>
          <w:szCs w:val="28"/>
        </w:rPr>
        <w:t>, з метою попередження травматизму. В основній частині заняття виконували танцювальні вправи. Для посилення оздоровчого ефекту інтенсивність фізичного навантаження контролювали за величиною ЧСС, що становила 65–80 % від максимальної та підтримували її прот</w:t>
      </w:r>
      <w:r>
        <w:rPr>
          <w:rFonts w:ascii="Times New Roman" w:eastAsia="Times New Roman" w:hAnsi="Times New Roman" w:cs="Times New Roman"/>
          <w:sz w:val="28"/>
          <w:szCs w:val="28"/>
        </w:rPr>
        <w:t>ягом 15-25 хв заняття. У заключній частині протягом 5 хв виконували рухи у порівняно низькому темпі, з метою поступового зменшення ЧСС. Наприкінці заняття протягом 10 хв виконувалися вправи зі стретчингу у поєднанні з дихальною гімнастикою з метою запобіга</w:t>
      </w:r>
      <w:r>
        <w:rPr>
          <w:rFonts w:ascii="Times New Roman" w:eastAsia="Times New Roman" w:hAnsi="Times New Roman" w:cs="Times New Roman"/>
          <w:sz w:val="28"/>
          <w:szCs w:val="28"/>
        </w:rPr>
        <w:t xml:space="preserve">ння виникнення м’язового болю та активізації обмінних процесів у м’язах. </w:t>
      </w:r>
    </w:p>
    <w:p w:rsidR="000B2DA2" w:rsidRDefault="00253DD5">
      <w:pPr>
        <w:widowControl w:val="0"/>
        <w:tabs>
          <w:tab w:val="left" w:pos="142"/>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Тривалість окремого заняття складала 60 хвилин. Заняття проводились тричі на тиждень протягом 6 місяців. </w:t>
      </w:r>
    </w:p>
    <w:p w:rsidR="000B2DA2" w:rsidRDefault="000B2DA2">
      <w:pPr>
        <w:widowControl w:val="0"/>
        <w:tabs>
          <w:tab w:val="left" w:pos="142"/>
        </w:tabs>
        <w:spacing w:after="0" w:line="360" w:lineRule="auto"/>
        <w:ind w:firstLine="709"/>
        <w:jc w:val="both"/>
        <w:rPr>
          <w:rFonts w:ascii="Times New Roman" w:eastAsia="Times New Roman" w:hAnsi="Times New Roman" w:cs="Times New Roman"/>
          <w:sz w:val="28"/>
          <w:szCs w:val="28"/>
        </w:rPr>
      </w:pP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3.4.</w:t>
      </w:r>
      <w:r>
        <w:rPr>
          <w:rFonts w:ascii="Times New Roman" w:eastAsia="Times New Roman" w:hAnsi="Times New Roman" w:cs="Times New Roman"/>
          <w:b/>
          <w:color w:val="000000"/>
          <w:sz w:val="28"/>
          <w:szCs w:val="28"/>
        </w:rPr>
        <w:tab/>
      </w:r>
      <w:r>
        <w:rPr>
          <w:rFonts w:ascii="Times New Roman" w:eastAsia="Times New Roman" w:hAnsi="Times New Roman" w:cs="Times New Roman"/>
          <w:b/>
          <w:color w:val="000000"/>
          <w:sz w:val="28"/>
          <w:szCs w:val="28"/>
        </w:rPr>
        <w:t>Вплив програми занять спортивними танцями на показники фізичного стану та якості життя чоловіків та жінок 36-45 років</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 ефективності розробленої програми оздоровчих занять для осіб другого періоду зрілого віку здійснювалась нами на основі показників ф</w:t>
      </w:r>
      <w:r>
        <w:rPr>
          <w:rFonts w:ascii="Times New Roman" w:eastAsia="Times New Roman" w:hAnsi="Times New Roman" w:cs="Times New Roman"/>
          <w:color w:val="000000"/>
          <w:sz w:val="28"/>
          <w:szCs w:val="28"/>
        </w:rPr>
        <w:t xml:space="preserve">ізичного та психоемоційного стану чоловіків та жінок 36-45 років.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sdt>
        <w:sdtPr>
          <w:tag w:val="goog_rdk_3"/>
          <w:id w:val="905881004"/>
        </w:sdtPr>
        <w:sdtEndPr/>
        <w:sdtContent>
          <w:r>
            <w:rPr>
              <w:rFonts w:ascii="Gungsuh" w:eastAsia="Gungsuh" w:hAnsi="Gungsuh" w:cs="Gungsuh"/>
              <w:color w:val="000000"/>
              <w:sz w:val="28"/>
              <w:szCs w:val="28"/>
            </w:rPr>
            <w:t xml:space="preserve">В процесі аналізу даних було встановлено, що з-поміж антропометричних показників, котрі вивчались в процесі долідження, зміни відбулись лише у масі тіла чоловіків та жінок і, відповідно, у </w:t>
          </w:r>
          <w:r>
            <w:rPr>
              <w:rFonts w:ascii="Gungsuh" w:eastAsia="Gungsuh" w:hAnsi="Gungsuh" w:cs="Gungsuh"/>
              <w:color w:val="000000"/>
              <w:sz w:val="28"/>
              <w:szCs w:val="28"/>
            </w:rPr>
            <w:t xml:space="preserve">розрахункових значенням ІМТ, проте варто зазначити, що вони не мали статистично достовірних (р≥0,05) відмінностей із показниками, котрі були отримані на початку дослідження.  </w:t>
          </w:r>
        </w:sdtContent>
      </w:sdt>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sdt>
        <w:sdtPr>
          <w:tag w:val="goog_rdk_4"/>
          <w:id w:val="340051031"/>
        </w:sdtPr>
        <w:sdtEndPr/>
        <w:sdtContent>
          <w:r>
            <w:rPr>
              <w:rFonts w:ascii="Gungsuh" w:eastAsia="Gungsuh" w:hAnsi="Gungsuh" w:cs="Gungsuh"/>
              <w:color w:val="000000"/>
              <w:sz w:val="28"/>
              <w:szCs w:val="28"/>
            </w:rPr>
            <w:t>Незважаючи на те, що різниця між показниками серцево-судинної та дихальної сис</w:t>
          </w:r>
          <w:r>
            <w:rPr>
              <w:rFonts w:ascii="Gungsuh" w:eastAsia="Gungsuh" w:hAnsi="Gungsuh" w:cs="Gungsuh"/>
              <w:color w:val="000000"/>
              <w:sz w:val="28"/>
              <w:szCs w:val="28"/>
            </w:rPr>
            <w:t>тем, отриманими на початку та наприкінці дослідження немає статистично достовірних відмінностей (р≥0,05), варто зазначити, що в процесі аналізу даних було виявлено позитивну динаміку показників ЧСС</w:t>
          </w:r>
        </w:sdtContent>
      </w:sdt>
      <w:r>
        <w:rPr>
          <w:rFonts w:ascii="Times New Roman" w:eastAsia="Times New Roman" w:hAnsi="Times New Roman" w:cs="Times New Roman"/>
          <w:color w:val="000000"/>
          <w:sz w:val="28"/>
          <w:szCs w:val="28"/>
          <w:vertAlign w:val="subscript"/>
        </w:rPr>
        <w:t>сп</w:t>
      </w:r>
      <w:r>
        <w:rPr>
          <w:rFonts w:ascii="Times New Roman" w:eastAsia="Times New Roman" w:hAnsi="Times New Roman" w:cs="Times New Roman"/>
          <w:color w:val="000000"/>
          <w:sz w:val="28"/>
          <w:szCs w:val="28"/>
        </w:rPr>
        <w:t>, ЖЄЛ та проб із довільною затримкою дихання на вдиху (</w:t>
      </w:r>
      <w:r>
        <w:rPr>
          <w:rFonts w:ascii="Times New Roman" w:eastAsia="Times New Roman" w:hAnsi="Times New Roman" w:cs="Times New Roman"/>
          <w:color w:val="000000"/>
          <w:sz w:val="28"/>
          <w:szCs w:val="28"/>
        </w:rPr>
        <w:t>Штанге) та видиху (Генча). Так, ЧСС</w:t>
      </w:r>
      <w:r>
        <w:rPr>
          <w:rFonts w:ascii="Times New Roman" w:eastAsia="Times New Roman" w:hAnsi="Times New Roman" w:cs="Times New Roman"/>
          <w:color w:val="000000"/>
          <w:sz w:val="28"/>
          <w:szCs w:val="28"/>
          <w:vertAlign w:val="subscript"/>
        </w:rPr>
        <w:t xml:space="preserve">сп </w:t>
      </w:r>
      <w:r>
        <w:rPr>
          <w:rFonts w:ascii="Times New Roman" w:eastAsia="Times New Roman" w:hAnsi="Times New Roman" w:cs="Times New Roman"/>
          <w:color w:val="000000"/>
          <w:sz w:val="28"/>
          <w:szCs w:val="28"/>
        </w:rPr>
        <w:t>жінок (</w:t>
      </w:r>
      <w:r>
        <w:rPr>
          <w:rFonts w:ascii="Times New Roman" w:eastAsia="Times New Roman" w:hAnsi="Times New Roman" w:cs="Times New Roman"/>
          <w:color w:val="000000"/>
          <w:sz w:val="46"/>
          <w:szCs w:val="46"/>
          <w:vertAlign w:val="subscript"/>
        </w:rPr>
        <w:object w:dxaOrig="234" w:dyaOrig="301">
          <v:shape id="_x0000_i1028" type="#_x0000_t75" style="width:12pt;height:15pt" o:ole="">
            <v:imagedata r:id="rId9" o:title=""/>
          </v:shape>
          <o:OLEObject Type="Embed" ProgID="Equation.3" ShapeID="_x0000_i1028" DrawAspect="Content" ObjectID="_1796755524" r:id="rId28"/>
        </w:object>
      </w:r>
      <w:r>
        <w:rPr>
          <w:rFonts w:ascii="Times New Roman" w:eastAsia="Times New Roman" w:hAnsi="Times New Roman" w:cs="Times New Roman"/>
          <w:color w:val="000000"/>
          <w:sz w:val="28"/>
          <w:szCs w:val="28"/>
        </w:rPr>
        <w:t>;S) знизилась з 78,7;6,68 уд/хв до 76,5;6,22 уд/хв, а чоловіків – з 83,4;3,27 уд/хв до 80,4;3,21 уд/хв; показник ЖЄЛ збільшився у жінок з 2984,2;258,6 мл до 3136,3;263,4 мл, а чоловіків – з 3658,4;436,5 мл до 3824,3;486,1 мл; показник проби Штанге жінок зб</w:t>
      </w:r>
      <w:r>
        <w:rPr>
          <w:rFonts w:ascii="Times New Roman" w:eastAsia="Times New Roman" w:hAnsi="Times New Roman" w:cs="Times New Roman"/>
          <w:color w:val="000000"/>
          <w:sz w:val="28"/>
          <w:szCs w:val="28"/>
        </w:rPr>
        <w:t xml:space="preserve">ільшився з 35,2;3,85 с до 37,1;3,6 с, а чоловіків – з 39,1;5,62 с до 41,2;5,4 с; показник проби Генча жінок збільшився з 20,1;3,9 с до 21,2;3,8 с, а чоловіків – з 21,4;4,25 с до 22,6;4,2 с.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оздоровчих занять спортивними танцями визначали також за ди</w:t>
      </w:r>
      <w:r>
        <w:rPr>
          <w:rFonts w:ascii="Times New Roman" w:eastAsia="Times New Roman" w:hAnsi="Times New Roman" w:cs="Times New Roman"/>
          <w:color w:val="000000"/>
          <w:sz w:val="28"/>
          <w:szCs w:val="28"/>
        </w:rPr>
        <w:t xml:space="preserve">намікою показників фізичного та психічного компонентів якості життя.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динаміки показників фізичного компонента якості життя залучених до експерименту жінок 36-45 років засвідчив зміни за усіма його складовими: фізичне функціонування, рольове функціо</w:t>
      </w:r>
      <w:r>
        <w:rPr>
          <w:rFonts w:ascii="Times New Roman" w:eastAsia="Times New Roman" w:hAnsi="Times New Roman" w:cs="Times New Roman"/>
          <w:sz w:val="28"/>
          <w:szCs w:val="28"/>
        </w:rPr>
        <w:t xml:space="preserve">нування, зумовлене фізичним станом, загальний стан здоров’я та інтенсивність болю (рис. 3.8).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114261" cy="2615609"/>
            <wp:effectExtent l="0" t="0" r="0" b="0"/>
            <wp:docPr id="47" name="Діагра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3.8 Динаміка показників фізичного компонента якості життя жінок другого періоду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фізичне функціонування;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 рольове функціонування, обум</w:t>
      </w:r>
      <w:r>
        <w:rPr>
          <w:rFonts w:ascii="Times New Roman" w:eastAsia="Times New Roman" w:hAnsi="Times New Roman" w:cs="Times New Roman"/>
          <w:sz w:val="28"/>
          <w:szCs w:val="28"/>
        </w:rPr>
        <w:t>овлене фізичним станом;</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загальний стан здоров’я;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інтенсивність болю</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Особливої уваги заслуговують показники загального стану здоров’я, приріст яких склав 16 %.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Позитивні зміни були встановлені і під час аналізу динаміки складових психічного компоне</w:t>
      </w:r>
      <w:r>
        <w:rPr>
          <w:rFonts w:ascii="Times New Roman" w:eastAsia="Times New Roman" w:hAnsi="Times New Roman" w:cs="Times New Roman"/>
          <w:sz w:val="28"/>
          <w:szCs w:val="28"/>
        </w:rPr>
        <w:t xml:space="preserve">нту якості життя жінок другого періоду зрілого віку (рис. 3.9). Варто зазначити, що приріст показників шкал соціальне функціонування та рольове функціонування, що обумовлене емоційним станом склав понад 20 %.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114261" cy="2615609"/>
            <wp:effectExtent l="0" t="0" r="0" b="0"/>
            <wp:docPr id="49" name="Діагра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3.9. Динаміка показників психічного ком</w:t>
      </w:r>
      <w:r>
        <w:rPr>
          <w:rFonts w:ascii="Times New Roman" w:eastAsia="Times New Roman" w:hAnsi="Times New Roman" w:cs="Times New Roman"/>
          <w:sz w:val="28"/>
          <w:szCs w:val="28"/>
        </w:rPr>
        <w:t>понента якості життя жінок другого періоду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життєздатність;</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 соціальне функціонування;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рольове функціонування, обумовлене емоційним станом;</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психічне здоров’я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Детальний  аналіз отриманих даних засвідчив, що  інтегральні показники як фізичного, так і психічного компонентів якості життя зросли з 74 балів до 81,8 бала та з 65 балів до 77 балів.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Подібна динаміка була виявлена і при аналізі фізичного та психічного к</w:t>
      </w:r>
      <w:r>
        <w:rPr>
          <w:rFonts w:ascii="Times New Roman" w:eastAsia="Times New Roman" w:hAnsi="Times New Roman" w:cs="Times New Roman"/>
          <w:sz w:val="28"/>
          <w:szCs w:val="28"/>
        </w:rPr>
        <w:t xml:space="preserve">омпонентів якості життя чоловіків, котрих було залучено до оздоровчих </w:t>
      </w:r>
      <w:r>
        <w:rPr>
          <w:rFonts w:ascii="Times New Roman" w:eastAsia="Times New Roman" w:hAnsi="Times New Roman" w:cs="Times New Roman"/>
          <w:sz w:val="28"/>
          <w:szCs w:val="28"/>
        </w:rPr>
        <w:lastRenderedPageBreak/>
        <w:t xml:space="preserve">занять спортивними танцями (рис. 3.10, 3.11). Так, приріст показника «загальний стан здоров’я» склав 21 %.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Інтегральний показник фізичного компонента якості життя чоловіків другого пері</w:t>
      </w:r>
      <w:r>
        <w:rPr>
          <w:rFonts w:ascii="Times New Roman" w:eastAsia="Times New Roman" w:hAnsi="Times New Roman" w:cs="Times New Roman"/>
          <w:sz w:val="28"/>
          <w:szCs w:val="28"/>
        </w:rPr>
        <w:t xml:space="preserve">оду зрілого віку протягом експерименту зріс з 69,6 бала до 77,2 бала.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показників психічного компонента якості життя чоловіків 36-45 років засвідчив найбільший приріст домену «соціальне функціонування» - 17 %.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color w:val="000000"/>
          <w:sz w:val="28"/>
          <w:szCs w:val="28"/>
        </w:rPr>
        <w:drawing>
          <wp:inline distT="0" distB="0" distL="0" distR="0">
            <wp:extent cx="5114261" cy="2615609"/>
            <wp:effectExtent l="0" t="0" r="0" b="0"/>
            <wp:docPr id="50" name="Діагра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3.10. Динаміка показників фізичного компонента якості життя чоловіків другого періоду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фізичне функціонування;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 рольове функціонування, обумовлене фізичним станом;</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загальний стан здоров’я;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інтенсивність болю</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5114261" cy="2615609"/>
            <wp:effectExtent l="0" t="0" r="0" b="0"/>
            <wp:docPr id="51" name="Діагра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3.11. Ди</w:t>
      </w:r>
      <w:r>
        <w:rPr>
          <w:rFonts w:ascii="Times New Roman" w:eastAsia="Times New Roman" w:hAnsi="Times New Roman" w:cs="Times New Roman"/>
          <w:sz w:val="28"/>
          <w:szCs w:val="28"/>
        </w:rPr>
        <w:t>наміка показників психічного компонента якості життя чоловіків другого періоду зрілого віку:</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життєздатність;</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 соціальне функціонування;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рольове функціонування, обумовлене емоційним станом;</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психічне здоров’я</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Інтегральний показник зазначеного </w:t>
      </w:r>
      <w:r>
        <w:rPr>
          <w:rFonts w:ascii="Times New Roman" w:eastAsia="Times New Roman" w:hAnsi="Times New Roman" w:cs="Times New Roman"/>
          <w:sz w:val="28"/>
          <w:szCs w:val="28"/>
        </w:rPr>
        <w:t xml:space="preserve">компонента якості життя чоловіків другого періоду зрілого віку зріс впродовж експерименту з 67 балів до 73,2 бала. </w:t>
      </w: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до розділу 3</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Передумовами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розробки програми оздоровчих занять зі спортивних танців для осіб другого періоду зрілого віку було вивчення показників морфологічного та функціонального статусу їхнього організму. Встановлено, що довжина та маса тіла, показники функціонального стану серце</w:t>
      </w:r>
      <w:r>
        <w:rPr>
          <w:rFonts w:ascii="Times New Roman" w:eastAsia="Times New Roman" w:hAnsi="Times New Roman" w:cs="Times New Roman"/>
          <w:color w:val="000000"/>
          <w:sz w:val="28"/>
          <w:szCs w:val="28"/>
        </w:rPr>
        <w:t>во-судинної та дихальної систем відповідають встановленим нормам. Виявлено, що розрахункові дані індексу Робінсона у більшості чоловіків (62,5 %) та жінок (50 %) є нижчими за середній рівень. Серед чоловіків, залучених до дослідження середній рівень фізичн</w:t>
      </w:r>
      <w:r>
        <w:rPr>
          <w:rFonts w:ascii="Times New Roman" w:eastAsia="Times New Roman" w:hAnsi="Times New Roman" w:cs="Times New Roman"/>
          <w:color w:val="000000"/>
          <w:sz w:val="28"/>
          <w:szCs w:val="28"/>
        </w:rPr>
        <w:t xml:space="preserve">ої роботоздатності мають 62,5 %, а серед жінок – 50 %.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Отримані дані було враховано під час розробки програми оздоровчих </w:t>
      </w:r>
      <w:r>
        <w:rPr>
          <w:rFonts w:ascii="Times New Roman" w:eastAsia="Times New Roman" w:hAnsi="Times New Roman" w:cs="Times New Roman"/>
          <w:color w:val="000000"/>
          <w:sz w:val="28"/>
          <w:szCs w:val="28"/>
        </w:rPr>
        <w:lastRenderedPageBreak/>
        <w:t>занять зі спортивних танців метою якої було удосконалення показників фізичного та психоемоційного стану осіб другого періоду зрілого віку. Програма включала ознайомлення з теоретичними відом</w:t>
      </w:r>
      <w:r>
        <w:rPr>
          <w:rFonts w:ascii="Times New Roman" w:eastAsia="Times New Roman" w:hAnsi="Times New Roman" w:cs="Times New Roman"/>
          <w:color w:val="000000"/>
          <w:sz w:val="28"/>
          <w:szCs w:val="28"/>
        </w:rPr>
        <w:t xml:space="preserve">остями та практичний матеріал. Зміст програми розрахований на 72 години. Заняття за авторською програмою проводились протягом 6 місяців тричі на тиждень. Тривалість одного заняття складала 60 хвилин. </w:t>
      </w:r>
    </w:p>
    <w:p w:rsidR="000B2DA2" w:rsidRDefault="00253D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програми оздоровчих занять зі спортивних т</w:t>
      </w:r>
      <w:r>
        <w:rPr>
          <w:rFonts w:ascii="Times New Roman" w:eastAsia="Times New Roman" w:hAnsi="Times New Roman" w:cs="Times New Roman"/>
          <w:sz w:val="28"/>
          <w:szCs w:val="28"/>
        </w:rPr>
        <w:t>анців доведена позитивною динамікою показників функціонального стану організму осіб другого періоду зрілого віку, зокрема чоловіків і жінок 36-45 років та показників фізичного та психічного компонентів якості життя. Приріст показника загального стану здоро</w:t>
      </w:r>
      <w:r>
        <w:rPr>
          <w:rFonts w:ascii="Times New Roman" w:eastAsia="Times New Roman" w:hAnsi="Times New Roman" w:cs="Times New Roman"/>
          <w:sz w:val="28"/>
          <w:szCs w:val="28"/>
        </w:rPr>
        <w:t>в’я склав 16 % у жінок та 21 % у чоловіків. Приріст показників шкал соціальне функціонування та рольове функціонування, що обумовлене емоційним станом жінок, залучених до експерименту, склав понад 20 %, а найбільший приріст у показниках чоловіків зафіксова</w:t>
      </w:r>
      <w:r>
        <w:rPr>
          <w:rFonts w:ascii="Times New Roman" w:eastAsia="Times New Roman" w:hAnsi="Times New Roman" w:cs="Times New Roman"/>
          <w:sz w:val="28"/>
          <w:szCs w:val="28"/>
        </w:rPr>
        <w:t xml:space="preserve">но у шкалі «соціальне функціонування» – 17 %.  </w:t>
      </w: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0" w:line="360" w:lineRule="auto"/>
        <w:ind w:firstLine="709"/>
        <w:jc w:val="center"/>
        <w:rPr>
          <w:rFonts w:ascii="Times New Roman" w:eastAsia="Times New Roman" w:hAnsi="Times New Roman" w:cs="Times New Roman"/>
          <w:b/>
          <w:color w:val="000000"/>
          <w:sz w:val="28"/>
          <w:szCs w:val="28"/>
        </w:rPr>
      </w:pPr>
      <w:r>
        <w:br w:type="column"/>
      </w:r>
      <w:r>
        <w:rPr>
          <w:rFonts w:ascii="Times New Roman" w:eastAsia="Times New Roman" w:hAnsi="Times New Roman" w:cs="Times New Roman"/>
          <w:b/>
          <w:color w:val="000000"/>
          <w:sz w:val="28"/>
          <w:szCs w:val="28"/>
        </w:rPr>
        <w:lastRenderedPageBreak/>
        <w:t>ВИСНОВКИ</w:t>
      </w:r>
    </w:p>
    <w:p w:rsidR="000B2DA2" w:rsidRDefault="000B2DA2">
      <w:pPr>
        <w:widowControl w:val="0"/>
        <w:pBdr>
          <w:top w:val="nil"/>
          <w:left w:val="nil"/>
          <w:bottom w:val="nil"/>
          <w:right w:val="nil"/>
          <w:between w:val="nil"/>
        </w:pBdr>
        <w:tabs>
          <w:tab w:val="left" w:pos="142"/>
        </w:tabs>
        <w:spacing w:after="0" w:line="360" w:lineRule="auto"/>
        <w:ind w:firstLine="709"/>
        <w:jc w:val="center"/>
        <w:rPr>
          <w:rFonts w:ascii="Times New Roman" w:eastAsia="Times New Roman" w:hAnsi="Times New Roman" w:cs="Times New Roman"/>
          <w:b/>
          <w:color w:val="000000"/>
          <w:sz w:val="28"/>
          <w:szCs w:val="28"/>
        </w:rPr>
      </w:pPr>
    </w:p>
    <w:p w:rsidR="000B2DA2" w:rsidRDefault="000B2DA2">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Беззаперечним є інтерес науковців до питань, котрі стосуються залучення дорослого населення до занять спеціально організованою руховою активністю, яка є засобом протистояння факторам ризику </w:t>
      </w:r>
      <w:r>
        <w:rPr>
          <w:rFonts w:ascii="Times New Roman" w:eastAsia="Times New Roman" w:hAnsi="Times New Roman" w:cs="Times New Roman"/>
          <w:color w:val="000000"/>
          <w:sz w:val="28"/>
          <w:szCs w:val="28"/>
        </w:rPr>
        <w:t>здоров’я та сприяє розширенню функціональних можливостей, поліпшенню показників рівня розвитку фізичних якостей, а також організації змістовного дозвілля. Другий період зрілого віку – період настання природніх інволюційних змін: зниження функціональної тре</w:t>
      </w:r>
      <w:r>
        <w:rPr>
          <w:rFonts w:ascii="Times New Roman" w:eastAsia="Times New Roman" w:hAnsi="Times New Roman" w:cs="Times New Roman"/>
          <w:color w:val="000000"/>
          <w:sz w:val="28"/>
          <w:szCs w:val="28"/>
        </w:rPr>
        <w:t>нованості, аеробної і анаеробної продуктивності, уповільнення відновлювальних процесів, зниження обміну речовин, порушення економічності роботи організму. Саме тому, одним з актуальних завдань є побудова програм та залучення осіб другого періоду зрілого ві</w:t>
      </w:r>
      <w:r>
        <w:rPr>
          <w:rFonts w:ascii="Times New Roman" w:eastAsia="Times New Roman" w:hAnsi="Times New Roman" w:cs="Times New Roman"/>
          <w:color w:val="000000"/>
          <w:sz w:val="28"/>
          <w:szCs w:val="28"/>
        </w:rPr>
        <w:t xml:space="preserve">ку до фізкультурно-оздоровчих занять.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Встановлено, що антропометричні (довжина тіла, маса тіла) та фізіологічні (ЧСС</w:t>
      </w:r>
      <w:r>
        <w:rPr>
          <w:rFonts w:ascii="Times New Roman" w:eastAsia="Times New Roman" w:hAnsi="Times New Roman" w:cs="Times New Roman"/>
          <w:color w:val="000000"/>
          <w:sz w:val="28"/>
          <w:szCs w:val="28"/>
          <w:vertAlign w:val="subscript"/>
        </w:rPr>
        <w:t>сп</w:t>
      </w:r>
      <w:r>
        <w:rPr>
          <w:rFonts w:ascii="Times New Roman" w:eastAsia="Times New Roman" w:hAnsi="Times New Roman" w:cs="Times New Roman"/>
          <w:color w:val="000000"/>
          <w:sz w:val="28"/>
          <w:szCs w:val="28"/>
        </w:rPr>
        <w:t>, АТ</w:t>
      </w:r>
      <w:r>
        <w:rPr>
          <w:rFonts w:ascii="Times New Roman" w:eastAsia="Times New Roman" w:hAnsi="Times New Roman" w:cs="Times New Roman"/>
          <w:color w:val="000000"/>
          <w:sz w:val="28"/>
          <w:szCs w:val="28"/>
          <w:vertAlign w:val="subscript"/>
        </w:rPr>
        <w:t>сист</w:t>
      </w:r>
      <w:r>
        <w:rPr>
          <w:rFonts w:ascii="Times New Roman" w:eastAsia="Times New Roman" w:hAnsi="Times New Roman" w:cs="Times New Roman"/>
          <w:color w:val="000000"/>
          <w:sz w:val="28"/>
          <w:szCs w:val="28"/>
        </w:rPr>
        <w:t>, АТ</w:t>
      </w:r>
      <w:r>
        <w:rPr>
          <w:rFonts w:ascii="Times New Roman" w:eastAsia="Times New Roman" w:hAnsi="Times New Roman" w:cs="Times New Roman"/>
          <w:color w:val="000000"/>
          <w:sz w:val="28"/>
          <w:szCs w:val="28"/>
          <w:vertAlign w:val="subscript"/>
        </w:rPr>
        <w:t>діаст</w:t>
      </w:r>
      <w:r>
        <w:rPr>
          <w:rFonts w:ascii="Times New Roman" w:eastAsia="Times New Roman" w:hAnsi="Times New Roman" w:cs="Times New Roman"/>
          <w:color w:val="000000"/>
          <w:sz w:val="28"/>
          <w:szCs w:val="28"/>
        </w:rPr>
        <w:t>, ЖЄЛ, проба Штанге, проба Генча) показники чоловіків та жінок 36-45 років, яких було залучено до дослідження відпов</w:t>
      </w:r>
      <w:r>
        <w:rPr>
          <w:rFonts w:ascii="Times New Roman" w:eastAsia="Times New Roman" w:hAnsi="Times New Roman" w:cs="Times New Roman"/>
          <w:color w:val="000000"/>
          <w:sz w:val="28"/>
          <w:szCs w:val="28"/>
        </w:rPr>
        <w:t xml:space="preserve">ідають встановленим нормам для даного контингенту. Результати спірометрії, як чоловіків, так і жінок, знаходяться в межах норм, проте виявлено динаміку до зниження показника ЖЄЛ з віком, що є цілком природнім.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Виявлено, що розрахункові дані індексу Роб</w:t>
      </w:r>
      <w:r>
        <w:rPr>
          <w:rFonts w:ascii="Times New Roman" w:eastAsia="Times New Roman" w:hAnsi="Times New Roman" w:cs="Times New Roman"/>
          <w:color w:val="000000"/>
          <w:sz w:val="28"/>
          <w:szCs w:val="28"/>
        </w:rPr>
        <w:t>інсона у більшості чоловіків (62,5 %) є нижчими за середній рівень, у 25 % – відповідають середньому рівню та у 12,5 % – вищому за середній. Результати індексу Робінсона жінок свідчать про те, що у 50 % нижчий за середній рівень, у 25 % – середній і ще у 2</w:t>
      </w:r>
      <w:r>
        <w:rPr>
          <w:rFonts w:ascii="Times New Roman" w:eastAsia="Times New Roman" w:hAnsi="Times New Roman" w:cs="Times New Roman"/>
          <w:color w:val="000000"/>
          <w:sz w:val="28"/>
          <w:szCs w:val="28"/>
        </w:rPr>
        <w:t xml:space="preserve">5 % – вищий за середній. Серед чоловіків, залучених до дослідження задовільний рівень фізичної роботоздатності мають 12,5 %, середній рівень – 62,5 %, а добрий – 25 %. Тоді як серед жінок виявлено 25 % із високим рівнем фізичної роботоздатності, 25 % – із </w:t>
      </w:r>
      <w:r>
        <w:rPr>
          <w:rFonts w:ascii="Times New Roman" w:eastAsia="Times New Roman" w:hAnsi="Times New Roman" w:cs="Times New Roman"/>
          <w:color w:val="000000"/>
          <w:sz w:val="28"/>
          <w:szCs w:val="28"/>
        </w:rPr>
        <w:t xml:space="preserve">добрим та 50 % із середнім. </w:t>
      </w:r>
    </w:p>
    <w:p w:rsidR="000B2DA2" w:rsidRDefault="00253DD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4. Визначено мотиваційні пріоритети чоловіків і жінок другого періоду зрілого віку до занять спеціально організованою руховою активністю. Так, для більшості чоловіків (75 %) та жінок (62,5 %) першочерговим є оздоровчий мотив. Друге місце за ступенем значущ</w:t>
      </w:r>
      <w:r>
        <w:rPr>
          <w:rFonts w:ascii="Times New Roman" w:eastAsia="Times New Roman" w:hAnsi="Times New Roman" w:cs="Times New Roman"/>
          <w:color w:val="000000"/>
          <w:sz w:val="28"/>
          <w:szCs w:val="28"/>
        </w:rPr>
        <w:t xml:space="preserve">ості для жінок (50 %) посідає психологічний мотив, а для чоловіків (62,5 %) – рекреаційний. На третьому місці як у чоловіків (50 %), так і у жінок (37,5 %) розташувались естетичні мотиви.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Дані констатувального експерименту було покладено в основу розро</w:t>
      </w:r>
      <w:r>
        <w:rPr>
          <w:rFonts w:ascii="Times New Roman" w:eastAsia="Times New Roman" w:hAnsi="Times New Roman" w:cs="Times New Roman"/>
          <w:color w:val="000000"/>
          <w:sz w:val="28"/>
          <w:szCs w:val="28"/>
        </w:rPr>
        <w:t>бки програми оздоровчих занять спортивними танцями для осіб другого періоду зрілого віку. В процесі розробки програми було враховано ряд принципів: індивідуалізації, доступності, систематичності, поступовості, оздоровчої спрямованості. Організація оздоровч</w:t>
      </w:r>
      <w:r>
        <w:rPr>
          <w:rFonts w:ascii="Times New Roman" w:eastAsia="Times New Roman" w:hAnsi="Times New Roman" w:cs="Times New Roman"/>
          <w:color w:val="000000"/>
          <w:sz w:val="28"/>
          <w:szCs w:val="28"/>
        </w:rPr>
        <w:t>их занять спортивними танцями для осіб зрілого віку дозволила реалізувати наступні функції: дозвіллєву, комунікативну, оздоровчу, освітню, аксіологічну. Метою програми оздоровчих занять спортивними танцями було удосконалення показників фізичного та психоем</w:t>
      </w:r>
      <w:r>
        <w:rPr>
          <w:rFonts w:ascii="Times New Roman" w:eastAsia="Times New Roman" w:hAnsi="Times New Roman" w:cs="Times New Roman"/>
          <w:color w:val="000000"/>
          <w:sz w:val="28"/>
          <w:szCs w:val="28"/>
        </w:rPr>
        <w:t>оційного стану осіб другого періоду зрілого віку.</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Програма включала ознайомлення з теоретичними відомостями та практичний матеріал, розподілений на розділи: хореографія в спортивних танцях, латиноамериканські танці, європейські танці, основні положення в п</w:t>
      </w:r>
      <w:r>
        <w:rPr>
          <w:rFonts w:ascii="Times New Roman" w:eastAsia="Times New Roman" w:hAnsi="Times New Roman" w:cs="Times New Roman"/>
          <w:color w:val="000000"/>
          <w:sz w:val="28"/>
          <w:szCs w:val="28"/>
        </w:rPr>
        <w:t xml:space="preserve">арі, артистичність, імпровізаційні рухи. Зміст програми розрахований на 72 години. Заняття за авторською програмою проводились протягом 6 місяців тричі на тиждень. Тривалість одного заняття складала 60 хвилин. </w:t>
      </w:r>
    </w:p>
    <w:p w:rsidR="000B2DA2" w:rsidRDefault="00253DD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Ефективність програми оздоровчих занять зі</w:t>
      </w:r>
      <w:r>
        <w:rPr>
          <w:rFonts w:ascii="Times New Roman" w:eastAsia="Times New Roman" w:hAnsi="Times New Roman" w:cs="Times New Roman"/>
          <w:color w:val="000000"/>
          <w:sz w:val="28"/>
          <w:szCs w:val="28"/>
        </w:rPr>
        <w:t xml:space="preserve"> спортивних танців доведена позитивною динамікою показників функціонального стану організму осіб другого періоду зрілого віку, зокрема чоловіків і жінок 36-45 років. Позитивну динаміку виявлено під час аналізу результатів оцінки фізичного та психічного ком</w:t>
      </w:r>
      <w:r>
        <w:rPr>
          <w:rFonts w:ascii="Times New Roman" w:eastAsia="Times New Roman" w:hAnsi="Times New Roman" w:cs="Times New Roman"/>
          <w:color w:val="000000"/>
          <w:sz w:val="28"/>
          <w:szCs w:val="28"/>
        </w:rPr>
        <w:t xml:space="preserve">понентів якості життя осіб, залучених до занять спортивними танцями: інтегральні показники як фізичного, так і психічного компонентів якості життя жінок зросли з 74 до 81,8 бала та з 65 до 77 балів; </w:t>
      </w:r>
      <w:r>
        <w:rPr>
          <w:rFonts w:ascii="Times New Roman" w:eastAsia="Times New Roman" w:hAnsi="Times New Roman" w:cs="Times New Roman"/>
          <w:color w:val="000000"/>
          <w:sz w:val="28"/>
          <w:szCs w:val="28"/>
        </w:rPr>
        <w:lastRenderedPageBreak/>
        <w:t>інтегральний показник фізичного компонента якості життя ч</w:t>
      </w:r>
      <w:r>
        <w:rPr>
          <w:rFonts w:ascii="Times New Roman" w:eastAsia="Times New Roman" w:hAnsi="Times New Roman" w:cs="Times New Roman"/>
          <w:color w:val="000000"/>
          <w:sz w:val="28"/>
          <w:szCs w:val="28"/>
        </w:rPr>
        <w:t xml:space="preserve">оловіків зріс з 69,6 до 77,2 бала, психічного компонента – з 67 до 73,2 бала. </w:t>
      </w:r>
    </w:p>
    <w:p w:rsidR="000B2DA2" w:rsidRDefault="000B2DA2">
      <w:pPr>
        <w:widowControl w:val="0"/>
        <w:pBdr>
          <w:top w:val="nil"/>
          <w:left w:val="nil"/>
          <w:bottom w:val="nil"/>
          <w:right w:val="nil"/>
          <w:between w:val="nil"/>
        </w:pBdr>
        <w:tabs>
          <w:tab w:val="left" w:pos="142"/>
          <w:tab w:val="left" w:pos="2796"/>
        </w:tabs>
        <w:spacing w:after="0" w:line="360" w:lineRule="auto"/>
        <w:ind w:firstLine="709"/>
        <w:rPr>
          <w:color w:val="000000"/>
        </w:rPr>
      </w:pPr>
    </w:p>
    <w:p w:rsidR="000B2DA2" w:rsidRDefault="00253DD5">
      <w:pPr>
        <w:widowControl w:val="0"/>
        <w:pBdr>
          <w:top w:val="nil"/>
          <w:left w:val="nil"/>
          <w:bottom w:val="nil"/>
          <w:right w:val="nil"/>
          <w:between w:val="nil"/>
        </w:pBdr>
        <w:tabs>
          <w:tab w:val="left" w:pos="142"/>
        </w:tabs>
        <w:spacing w:after="0" w:line="360" w:lineRule="auto"/>
        <w:ind w:firstLine="709"/>
        <w:jc w:val="center"/>
        <w:rPr>
          <w:rFonts w:ascii="Times New Roman" w:eastAsia="Times New Roman" w:hAnsi="Times New Roman" w:cs="Times New Roman"/>
          <w:color w:val="000000"/>
          <w:sz w:val="28"/>
          <w:szCs w:val="28"/>
        </w:rPr>
      </w:pPr>
      <w:r>
        <w:br w:type="column"/>
      </w:r>
      <w:r>
        <w:rPr>
          <w:rFonts w:ascii="Times New Roman" w:eastAsia="Times New Roman" w:hAnsi="Times New Roman" w:cs="Times New Roman"/>
          <w:b/>
          <w:color w:val="000000"/>
          <w:sz w:val="28"/>
          <w:szCs w:val="28"/>
        </w:rPr>
        <w:lastRenderedPageBreak/>
        <w:t>СПИСОК ВИКОРИСТАНИХ ДЖЕРЕЛ</w:t>
      </w: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0B2DA2">
      <w:pPr>
        <w:spacing w:after="0" w:line="360" w:lineRule="auto"/>
        <w:ind w:firstLine="709"/>
        <w:jc w:val="both"/>
        <w:rPr>
          <w:rFonts w:ascii="Times New Roman" w:eastAsia="Times New Roman" w:hAnsi="Times New Roman" w:cs="Times New Roman"/>
          <w:sz w:val="28"/>
          <w:szCs w:val="28"/>
        </w:rPr>
      </w:pP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 w:name="_heading=h.30j0zll" w:colFirst="0" w:colLast="0"/>
      <w:bookmarkEnd w:id="2"/>
      <w:r>
        <w:rPr>
          <w:rFonts w:ascii="Times New Roman" w:eastAsia="Times New Roman" w:hAnsi="Times New Roman" w:cs="Times New Roman"/>
          <w:color w:val="000000"/>
          <w:sz w:val="28"/>
          <w:szCs w:val="28"/>
        </w:rPr>
        <w:t xml:space="preserve">Акулова В. Підходи до побудови профілактико-оздоровчих занять жінок другого зрілого віку. </w:t>
      </w:r>
      <w:r>
        <w:rPr>
          <w:rFonts w:ascii="Times New Roman" w:eastAsia="Times New Roman" w:hAnsi="Times New Roman" w:cs="Times New Roman"/>
          <w:i/>
          <w:color w:val="000000"/>
          <w:sz w:val="28"/>
          <w:szCs w:val="28"/>
        </w:rPr>
        <w:t>Слобожанський науково-спортивний вісник</w:t>
      </w:r>
      <w:r>
        <w:rPr>
          <w:rFonts w:ascii="Times New Roman" w:eastAsia="Times New Roman" w:hAnsi="Times New Roman" w:cs="Times New Roman"/>
          <w:color w:val="000000"/>
          <w:sz w:val="28"/>
          <w:szCs w:val="28"/>
        </w:rPr>
        <w:t xml:space="preserve">. 2016. № 3 (53). С. 7–10.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 w:name="_heading=h.1fob9te" w:colFirst="0" w:colLast="0"/>
      <w:bookmarkEnd w:id="3"/>
      <w:r>
        <w:rPr>
          <w:rFonts w:ascii="Times New Roman" w:eastAsia="Times New Roman" w:hAnsi="Times New Roman" w:cs="Times New Roman"/>
          <w:color w:val="000000"/>
          <w:sz w:val="28"/>
          <w:szCs w:val="28"/>
        </w:rPr>
        <w:t xml:space="preserve">Андрєєва О. В. Соціально-психологічні чинники, що детермінують рекреаційно-оздоровчу активність осіб різного віку. </w:t>
      </w:r>
      <w:r>
        <w:rPr>
          <w:rFonts w:ascii="Times New Roman" w:eastAsia="Times New Roman" w:hAnsi="Times New Roman" w:cs="Times New Roman"/>
          <w:i/>
          <w:color w:val="000000"/>
          <w:sz w:val="28"/>
          <w:szCs w:val="28"/>
        </w:rPr>
        <w:t>Теорія і методика фізичного виховання і спорту</w:t>
      </w:r>
      <w:r>
        <w:rPr>
          <w:rFonts w:ascii="Times New Roman" w:eastAsia="Times New Roman" w:hAnsi="Times New Roman" w:cs="Times New Roman"/>
          <w:color w:val="000000"/>
          <w:sz w:val="28"/>
          <w:szCs w:val="28"/>
        </w:rPr>
        <w:t xml:space="preserve">. 2014. № 3. С. 25–30.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 w:name="_heading=h.3znysh7" w:colFirst="0" w:colLast="0"/>
      <w:bookmarkEnd w:id="4"/>
      <w:r>
        <w:rPr>
          <w:rFonts w:ascii="Times New Roman" w:eastAsia="Times New Roman" w:hAnsi="Times New Roman" w:cs="Times New Roman"/>
          <w:color w:val="000000"/>
          <w:sz w:val="28"/>
          <w:szCs w:val="28"/>
        </w:rPr>
        <w:t>Апайчев О. В. Аналіз фітнес-технологій, спр</w:t>
      </w:r>
      <w:r>
        <w:rPr>
          <w:rFonts w:ascii="Times New Roman" w:eastAsia="Times New Roman" w:hAnsi="Times New Roman" w:cs="Times New Roman"/>
          <w:color w:val="000000"/>
          <w:sz w:val="28"/>
          <w:szCs w:val="28"/>
        </w:rPr>
        <w:t xml:space="preserve">ямованих на корекцію фізичного стану чоловіків другого зрілого віку. </w:t>
      </w:r>
      <w:r>
        <w:rPr>
          <w:rFonts w:ascii="Times New Roman" w:eastAsia="Times New Roman" w:hAnsi="Times New Roman" w:cs="Times New Roman"/>
          <w:i/>
          <w:color w:val="000000"/>
          <w:sz w:val="28"/>
          <w:szCs w:val="28"/>
        </w:rPr>
        <w:t>Фізична культура, спорт та здоров’я нації</w:t>
      </w:r>
      <w:r>
        <w:rPr>
          <w:rFonts w:ascii="Times New Roman" w:eastAsia="Times New Roman" w:hAnsi="Times New Roman" w:cs="Times New Roman"/>
          <w:color w:val="000000"/>
          <w:sz w:val="28"/>
          <w:szCs w:val="28"/>
        </w:rPr>
        <w:t>. 2014. Вип. 18, Т. 1. С. 10–14.</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 w:name="_heading=h.2et92p0" w:colFirst="0" w:colLast="0"/>
      <w:bookmarkEnd w:id="5"/>
      <w:r>
        <w:rPr>
          <w:rFonts w:ascii="Times New Roman" w:eastAsia="Times New Roman" w:hAnsi="Times New Roman" w:cs="Times New Roman"/>
          <w:color w:val="000000"/>
          <w:sz w:val="28"/>
          <w:szCs w:val="28"/>
        </w:rPr>
        <w:t>Апайчев О. В. Корекція фізичного стану чоловіків другого зрілого віку в процесі занять оздоровчим фітнесом : авто</w:t>
      </w:r>
      <w:r>
        <w:rPr>
          <w:rFonts w:ascii="Times New Roman" w:eastAsia="Times New Roman" w:hAnsi="Times New Roman" w:cs="Times New Roman"/>
          <w:color w:val="000000"/>
          <w:sz w:val="28"/>
          <w:szCs w:val="28"/>
        </w:rPr>
        <w:t>реф. дис. ... канд. наук з фіз. виховання та спорту : 24.00.02. Київ, 2016. 24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6" w:name="_heading=h.tyjcwt" w:colFirst="0" w:colLast="0"/>
      <w:bookmarkEnd w:id="6"/>
      <w:r>
        <w:rPr>
          <w:rFonts w:ascii="Times New Roman" w:eastAsia="Times New Roman" w:hAnsi="Times New Roman" w:cs="Times New Roman"/>
          <w:color w:val="000000"/>
          <w:sz w:val="28"/>
          <w:szCs w:val="28"/>
        </w:rPr>
        <w:t xml:space="preserve">Базилевич Н., Гордієнко О., Лой Б., Кусай А. Вплив занять пілатесом на морфо-функціональний стан жінок другого зрілого віку. </w:t>
      </w:r>
      <w:r>
        <w:rPr>
          <w:rFonts w:ascii="Times New Roman" w:eastAsia="Times New Roman" w:hAnsi="Times New Roman" w:cs="Times New Roman"/>
          <w:i/>
          <w:color w:val="000000"/>
          <w:sz w:val="28"/>
          <w:szCs w:val="28"/>
        </w:rPr>
        <w:t>Теорія і практика фізичної культури і спорту.</w:t>
      </w:r>
      <w:r>
        <w:rPr>
          <w:rFonts w:ascii="Times New Roman" w:eastAsia="Times New Roman" w:hAnsi="Times New Roman" w:cs="Times New Roman"/>
          <w:color w:val="000000"/>
          <w:sz w:val="28"/>
          <w:szCs w:val="28"/>
        </w:rPr>
        <w:t xml:space="preserve"> 202</w:t>
      </w:r>
      <w:r>
        <w:rPr>
          <w:rFonts w:ascii="Times New Roman" w:eastAsia="Times New Roman" w:hAnsi="Times New Roman" w:cs="Times New Roman"/>
          <w:color w:val="000000"/>
          <w:sz w:val="28"/>
          <w:szCs w:val="28"/>
        </w:rPr>
        <w:t>3. № 1. С. 37–45.</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7" w:name="_heading=h.3dy6vkm" w:colFirst="0" w:colLast="0"/>
      <w:bookmarkEnd w:id="7"/>
      <w:r>
        <w:rPr>
          <w:rFonts w:ascii="Times New Roman" w:eastAsia="Times New Roman" w:hAnsi="Times New Roman" w:cs="Times New Roman"/>
          <w:color w:val="000000"/>
          <w:sz w:val="28"/>
          <w:szCs w:val="28"/>
        </w:rPr>
        <w:t xml:space="preserve">Баламутова Н. М., Шейко Л. В. Методика використання засобів плавання в процесі оздоровчих занять жінок. </w:t>
      </w:r>
      <w:r>
        <w:rPr>
          <w:rFonts w:ascii="Times New Roman" w:eastAsia="Times New Roman" w:hAnsi="Times New Roman" w:cs="Times New Roman"/>
          <w:i/>
          <w:color w:val="000000"/>
          <w:sz w:val="28"/>
          <w:szCs w:val="28"/>
        </w:rPr>
        <w:t xml:space="preserve">Здоров’я нації і вдосконалення фізкультурно-спортивної освіти </w:t>
      </w:r>
      <w:r>
        <w:rPr>
          <w:rFonts w:ascii="Times New Roman" w:eastAsia="Times New Roman" w:hAnsi="Times New Roman" w:cs="Times New Roman"/>
          <w:color w:val="000000"/>
          <w:sz w:val="28"/>
          <w:szCs w:val="28"/>
        </w:rPr>
        <w:t xml:space="preserve">: матеріали ІV Міжнародної науково-практичної конференції, 25-26 квітня </w:t>
      </w:r>
      <w:r>
        <w:rPr>
          <w:rFonts w:ascii="Times New Roman" w:eastAsia="Times New Roman" w:hAnsi="Times New Roman" w:cs="Times New Roman"/>
          <w:color w:val="000000"/>
          <w:sz w:val="28"/>
          <w:szCs w:val="28"/>
        </w:rPr>
        <w:t>2024 р. Харків, 2024. С. 231.</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8" w:name="_heading=h.1t3h5sf" w:colFirst="0" w:colLast="0"/>
      <w:bookmarkEnd w:id="8"/>
      <w:r>
        <w:rPr>
          <w:rFonts w:ascii="Times New Roman" w:eastAsia="Times New Roman" w:hAnsi="Times New Roman" w:cs="Times New Roman"/>
          <w:color w:val="000000"/>
          <w:sz w:val="28"/>
          <w:szCs w:val="28"/>
        </w:rPr>
        <w:t xml:space="preserve">Благій О. Сучасні підходи до управління фізичним станом чоловіків зрілого віку в процесі кондиційного тренування. </w:t>
      </w:r>
      <w:r>
        <w:rPr>
          <w:rFonts w:ascii="Times New Roman" w:eastAsia="Times New Roman" w:hAnsi="Times New Roman" w:cs="Times New Roman"/>
          <w:i/>
          <w:color w:val="000000"/>
          <w:sz w:val="28"/>
          <w:szCs w:val="28"/>
        </w:rPr>
        <w:t>Теорія і методика фізичного виховання і спорту</w:t>
      </w:r>
      <w:r>
        <w:rPr>
          <w:rFonts w:ascii="Times New Roman" w:eastAsia="Times New Roman" w:hAnsi="Times New Roman" w:cs="Times New Roman"/>
          <w:color w:val="000000"/>
          <w:sz w:val="28"/>
          <w:szCs w:val="28"/>
        </w:rPr>
        <w:t xml:space="preserve">. 2015. № 1. С. 22–25.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9" w:name="_heading=h.4d34og8" w:colFirst="0" w:colLast="0"/>
      <w:bookmarkEnd w:id="9"/>
      <w:r>
        <w:rPr>
          <w:rFonts w:ascii="Times New Roman" w:eastAsia="Times New Roman" w:hAnsi="Times New Roman" w:cs="Times New Roman"/>
          <w:color w:val="000000"/>
          <w:sz w:val="28"/>
          <w:szCs w:val="28"/>
        </w:rPr>
        <w:t>Благій О., Андрєєва О. Оптимізація рухової</w:t>
      </w:r>
      <w:r>
        <w:rPr>
          <w:rFonts w:ascii="Times New Roman" w:eastAsia="Times New Roman" w:hAnsi="Times New Roman" w:cs="Times New Roman"/>
          <w:color w:val="000000"/>
          <w:sz w:val="28"/>
          <w:szCs w:val="28"/>
        </w:rPr>
        <w:t xml:space="preserve"> активності чоловіків першого періоду зрілого віку засобами Outdoor фітнесу. </w:t>
      </w:r>
      <w:r>
        <w:rPr>
          <w:rFonts w:ascii="Times New Roman" w:eastAsia="Times New Roman" w:hAnsi="Times New Roman" w:cs="Times New Roman"/>
          <w:i/>
          <w:color w:val="000000"/>
          <w:sz w:val="28"/>
          <w:szCs w:val="28"/>
        </w:rPr>
        <w:t>Фізична культура, спорт та здоров’я нації</w:t>
      </w:r>
      <w:r>
        <w:rPr>
          <w:rFonts w:ascii="Times New Roman" w:eastAsia="Times New Roman" w:hAnsi="Times New Roman" w:cs="Times New Roman"/>
          <w:color w:val="000000"/>
          <w:sz w:val="28"/>
          <w:szCs w:val="28"/>
        </w:rPr>
        <w:t>. 2015. С. 35–41.</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0" w:name="_heading=h.2s8eyo1" w:colFirst="0" w:colLast="0"/>
      <w:bookmarkEnd w:id="10"/>
      <w:r>
        <w:rPr>
          <w:rFonts w:ascii="Times New Roman" w:eastAsia="Times New Roman" w:hAnsi="Times New Roman" w:cs="Times New Roman"/>
          <w:color w:val="000000"/>
          <w:sz w:val="28"/>
          <w:szCs w:val="28"/>
        </w:rPr>
        <w:lastRenderedPageBreak/>
        <w:t>Бойко Г., Волошко В. Функціональне тренування на свіжому повітрі з використанням TRX в системі оздоровчо-рекреаційних за</w:t>
      </w:r>
      <w:r>
        <w:rPr>
          <w:rFonts w:ascii="Times New Roman" w:eastAsia="Times New Roman" w:hAnsi="Times New Roman" w:cs="Times New Roman"/>
          <w:color w:val="000000"/>
          <w:sz w:val="28"/>
          <w:szCs w:val="28"/>
        </w:rPr>
        <w:t xml:space="preserve">нять осіб другого зрілого віку. </w:t>
      </w:r>
      <w:r>
        <w:rPr>
          <w:rFonts w:ascii="Times New Roman" w:eastAsia="Times New Roman" w:hAnsi="Times New Roman" w:cs="Times New Roman"/>
          <w:i/>
          <w:color w:val="000000"/>
          <w:sz w:val="28"/>
          <w:szCs w:val="28"/>
        </w:rPr>
        <w:t>Молодий вчений</w:t>
      </w:r>
      <w:r>
        <w:rPr>
          <w:rFonts w:ascii="Times New Roman" w:eastAsia="Times New Roman" w:hAnsi="Times New Roman" w:cs="Times New Roman"/>
          <w:color w:val="000000"/>
          <w:sz w:val="28"/>
          <w:szCs w:val="28"/>
        </w:rPr>
        <w:t xml:space="preserve">. 2018. № 11 (63). С. 525–529.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1" w:name="_heading=h.17dp8vu" w:colFirst="0" w:colLast="0"/>
      <w:bookmarkEnd w:id="11"/>
      <w:r>
        <w:rPr>
          <w:rFonts w:ascii="Times New Roman" w:eastAsia="Times New Roman" w:hAnsi="Times New Roman" w:cs="Times New Roman"/>
          <w:color w:val="000000"/>
          <w:sz w:val="28"/>
          <w:szCs w:val="28"/>
        </w:rPr>
        <w:t xml:space="preserve">Бондарчук Н. Я., Тулайдан В. Г., Тимочко О. І. Застосування диференційованого підходу при розробці програм занять оздоровчою ходьбою для осіб другого зрілого віку. </w:t>
      </w:r>
      <w:r>
        <w:rPr>
          <w:rFonts w:ascii="Times New Roman" w:eastAsia="Times New Roman" w:hAnsi="Times New Roman" w:cs="Times New Roman"/>
          <w:i/>
          <w:color w:val="000000"/>
          <w:sz w:val="28"/>
          <w:szCs w:val="28"/>
        </w:rPr>
        <w:t>Науковий вісни</w:t>
      </w:r>
      <w:r>
        <w:rPr>
          <w:rFonts w:ascii="Times New Roman" w:eastAsia="Times New Roman" w:hAnsi="Times New Roman" w:cs="Times New Roman"/>
          <w:i/>
          <w:color w:val="000000"/>
          <w:sz w:val="28"/>
          <w:szCs w:val="28"/>
        </w:rPr>
        <w:t>к Ужгородського університету</w:t>
      </w:r>
      <w:r>
        <w:rPr>
          <w:rFonts w:ascii="Times New Roman" w:eastAsia="Times New Roman" w:hAnsi="Times New Roman" w:cs="Times New Roman"/>
          <w:color w:val="000000"/>
          <w:sz w:val="28"/>
          <w:szCs w:val="28"/>
        </w:rPr>
        <w:t>. 2022. № 1. С. 19–22.</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2" w:name="_heading=h.3rdcrjn" w:colFirst="0" w:colLast="0"/>
      <w:bookmarkEnd w:id="12"/>
      <w:r>
        <w:rPr>
          <w:rFonts w:ascii="Times New Roman" w:eastAsia="Times New Roman" w:hAnsi="Times New Roman" w:cs="Times New Roman"/>
          <w:color w:val="000000"/>
          <w:sz w:val="28"/>
          <w:szCs w:val="28"/>
        </w:rPr>
        <w:t xml:space="preserve">Гакман А. В. Теорія та методика фізичної рекреації : навч. посібник. Чернівці : Чернівец. нац. ун-т ім. Ю. Федьковича, 2021. 264 с.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3" w:name="_heading=h.26in1rg" w:colFirst="0" w:colLast="0"/>
      <w:bookmarkEnd w:id="13"/>
      <w:r>
        <w:rPr>
          <w:rFonts w:ascii="Times New Roman" w:eastAsia="Times New Roman" w:hAnsi="Times New Roman" w:cs="Times New Roman"/>
          <w:color w:val="000000"/>
          <w:sz w:val="28"/>
          <w:szCs w:val="28"/>
        </w:rPr>
        <w:t xml:space="preserve">Гамора Т. Перспективи розробки програм ментального фітнесу як напрямку фізичного виховання жінок. </w:t>
      </w:r>
      <w:r>
        <w:rPr>
          <w:rFonts w:ascii="Times New Roman" w:eastAsia="Times New Roman" w:hAnsi="Times New Roman" w:cs="Times New Roman"/>
          <w:i/>
          <w:color w:val="000000"/>
          <w:sz w:val="28"/>
          <w:szCs w:val="28"/>
        </w:rPr>
        <w:t>Сучасні погляди молоді на фізичну культуру, спорт та здоров’я людини</w:t>
      </w:r>
      <w:r>
        <w:rPr>
          <w:rFonts w:ascii="Times New Roman" w:eastAsia="Times New Roman" w:hAnsi="Times New Roman" w:cs="Times New Roman"/>
          <w:color w:val="000000"/>
          <w:sz w:val="28"/>
          <w:szCs w:val="28"/>
        </w:rPr>
        <w:t xml:space="preserve"> : збірник тез. Харків, 2024. С. 246–248.</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14" w:name="_heading=h.lnxbz9" w:colFirst="0" w:colLast="0"/>
      <w:bookmarkEnd w:id="14"/>
      <w:r>
        <w:rPr>
          <w:rFonts w:ascii="Times New Roman" w:eastAsia="Times New Roman" w:hAnsi="Times New Roman" w:cs="Times New Roman"/>
          <w:color w:val="000000"/>
          <w:sz w:val="28"/>
          <w:szCs w:val="28"/>
          <w:highlight w:val="white"/>
        </w:rPr>
        <w:t>Герич М. С., Синявська О. О. Математична статист</w:t>
      </w:r>
      <w:r>
        <w:rPr>
          <w:rFonts w:ascii="Times New Roman" w:eastAsia="Times New Roman" w:hAnsi="Times New Roman" w:cs="Times New Roman"/>
          <w:color w:val="000000"/>
          <w:sz w:val="28"/>
          <w:szCs w:val="28"/>
          <w:highlight w:val="white"/>
        </w:rPr>
        <w:t>ика : навч. посіб. Ужгород : ДВНЗ «УжНУ», 2021. 146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5" w:name="_heading=h.35nkun2" w:colFirst="0" w:colLast="0"/>
      <w:bookmarkEnd w:id="15"/>
      <w:r>
        <w:rPr>
          <w:rFonts w:ascii="Times New Roman" w:eastAsia="Times New Roman" w:hAnsi="Times New Roman" w:cs="Times New Roman"/>
          <w:color w:val="000000"/>
          <w:sz w:val="28"/>
          <w:szCs w:val="28"/>
        </w:rPr>
        <w:t xml:space="preserve">Гоглювата Н. О. Програмування фізкультурно-оздоровчих занять аквафітнесом з жінками першого зрілого віку : автореф. дис. ... канд. наук з фіз. вих. : 24.00.02. Київ, 2007. 24 с.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6" w:name="_heading=h.1ksv4uv" w:colFirst="0" w:colLast="0"/>
      <w:bookmarkEnd w:id="16"/>
      <w:r>
        <w:rPr>
          <w:rFonts w:ascii="Times New Roman" w:eastAsia="Times New Roman" w:hAnsi="Times New Roman" w:cs="Times New Roman"/>
          <w:color w:val="000000"/>
          <w:sz w:val="28"/>
          <w:szCs w:val="28"/>
        </w:rPr>
        <w:t>Гончар Г. І. Оздоровча</w:t>
      </w:r>
      <w:r>
        <w:rPr>
          <w:rFonts w:ascii="Times New Roman" w:eastAsia="Times New Roman" w:hAnsi="Times New Roman" w:cs="Times New Roman"/>
          <w:color w:val="000000"/>
          <w:sz w:val="28"/>
          <w:szCs w:val="28"/>
        </w:rPr>
        <w:t xml:space="preserve"> рухова активність осіб різного віку і статі. </w:t>
      </w:r>
      <w:r>
        <w:rPr>
          <w:rFonts w:ascii="Times New Roman" w:eastAsia="Times New Roman" w:hAnsi="Times New Roman" w:cs="Times New Roman"/>
          <w:i/>
          <w:color w:val="000000"/>
          <w:sz w:val="28"/>
          <w:szCs w:val="28"/>
        </w:rPr>
        <w:t>Фізична культура дітей, підлітків, молоді та дорослого населення в сучасному світі</w:t>
      </w:r>
      <w:r>
        <w:rPr>
          <w:rFonts w:ascii="Times New Roman" w:eastAsia="Times New Roman" w:hAnsi="Times New Roman" w:cs="Times New Roman"/>
          <w:color w:val="000000"/>
          <w:sz w:val="28"/>
          <w:szCs w:val="28"/>
        </w:rPr>
        <w:t xml:space="preserve"> : матеріали ІІІ Міжнародної науково-практичної інтернет-конференції, 20 травня 2022 р. Умань : ВПЦ «Візаві», 2022. С. 341–347.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17" w:name="_heading=h.44sinio" w:colFirst="0" w:colLast="0"/>
      <w:bookmarkEnd w:id="17"/>
      <w:r>
        <w:rPr>
          <w:rFonts w:ascii="Times New Roman" w:eastAsia="Times New Roman" w:hAnsi="Times New Roman" w:cs="Times New Roman"/>
          <w:color w:val="000000"/>
          <w:sz w:val="28"/>
          <w:szCs w:val="28"/>
        </w:rPr>
        <w:t>Дєдух М., Іванік О., Єфанова В. Характеристика самооцінки рівня фізичного здоров’я осіб зрілого віку. </w:t>
      </w:r>
      <w:r>
        <w:rPr>
          <w:rFonts w:ascii="Times New Roman" w:eastAsia="Times New Roman" w:hAnsi="Times New Roman" w:cs="Times New Roman"/>
          <w:i/>
          <w:color w:val="000000"/>
          <w:sz w:val="28"/>
          <w:szCs w:val="28"/>
        </w:rPr>
        <w:t>Вісник Прикарпатського університету. Фізична культура</w:t>
      </w:r>
      <w:r>
        <w:rPr>
          <w:rFonts w:ascii="Times New Roman" w:eastAsia="Times New Roman" w:hAnsi="Times New Roman" w:cs="Times New Roman"/>
          <w:color w:val="000000"/>
          <w:sz w:val="28"/>
          <w:szCs w:val="28"/>
        </w:rPr>
        <w:t>. 2023. Вип. 40. С. 32–37.</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8" w:name="_heading=h.2jxsxqh" w:colFirst="0" w:colLast="0"/>
      <w:bookmarkEnd w:id="18"/>
      <w:r>
        <w:rPr>
          <w:rFonts w:ascii="Times New Roman" w:eastAsia="Times New Roman" w:hAnsi="Times New Roman" w:cs="Times New Roman"/>
          <w:color w:val="000000"/>
          <w:sz w:val="28"/>
          <w:szCs w:val="28"/>
        </w:rPr>
        <w:t>Довженко С. С., Свєтош В. Ю. Особливості фізичної активності у зрілому ві</w:t>
      </w:r>
      <w:r>
        <w:rPr>
          <w:rFonts w:ascii="Times New Roman" w:eastAsia="Times New Roman" w:hAnsi="Times New Roman" w:cs="Times New Roman"/>
          <w:color w:val="000000"/>
          <w:sz w:val="28"/>
          <w:szCs w:val="28"/>
        </w:rPr>
        <w:t xml:space="preserve">ці у відповідності з європейськими стандартами. </w:t>
      </w:r>
      <w:r>
        <w:rPr>
          <w:rFonts w:ascii="Times New Roman" w:eastAsia="Times New Roman" w:hAnsi="Times New Roman" w:cs="Times New Roman"/>
          <w:i/>
          <w:color w:val="000000"/>
          <w:sz w:val="28"/>
          <w:szCs w:val="28"/>
        </w:rPr>
        <w:t xml:space="preserve">Людина, суспільство, комунікативні технології </w:t>
      </w:r>
      <w:r>
        <w:rPr>
          <w:rFonts w:ascii="Times New Roman" w:eastAsia="Times New Roman" w:hAnsi="Times New Roman" w:cs="Times New Roman"/>
          <w:color w:val="000000"/>
          <w:sz w:val="28"/>
          <w:szCs w:val="28"/>
        </w:rPr>
        <w:t xml:space="preserve">: матеріали ХI міжнар. наук.-практ. конф., м. Харків. 26-27 жовтня 2023р., Харків, 2023. С. 35–37.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9" w:name="_heading=h.z337ya" w:colFirst="0" w:colLast="0"/>
      <w:bookmarkEnd w:id="19"/>
      <w:r>
        <w:rPr>
          <w:rFonts w:ascii="Times New Roman" w:eastAsia="Times New Roman" w:hAnsi="Times New Roman" w:cs="Times New Roman"/>
          <w:color w:val="000000"/>
          <w:sz w:val="28"/>
          <w:szCs w:val="28"/>
        </w:rPr>
        <w:lastRenderedPageBreak/>
        <w:t>Жук Г., Хабінець Т. Вплив занять аквафітнесом на фізичний стан</w:t>
      </w:r>
      <w:r>
        <w:rPr>
          <w:rFonts w:ascii="Times New Roman" w:eastAsia="Times New Roman" w:hAnsi="Times New Roman" w:cs="Times New Roman"/>
          <w:color w:val="000000"/>
          <w:sz w:val="28"/>
          <w:szCs w:val="28"/>
        </w:rPr>
        <w:t xml:space="preserve"> жінок другого зрілого віку. </w:t>
      </w:r>
      <w:r>
        <w:rPr>
          <w:rFonts w:ascii="Times New Roman" w:eastAsia="Times New Roman" w:hAnsi="Times New Roman" w:cs="Times New Roman"/>
          <w:i/>
          <w:color w:val="000000"/>
          <w:sz w:val="28"/>
          <w:szCs w:val="28"/>
        </w:rPr>
        <w:t>Молода спортивна наука України</w:t>
      </w:r>
      <w:r>
        <w:rPr>
          <w:rFonts w:ascii="Times New Roman" w:eastAsia="Times New Roman" w:hAnsi="Times New Roman" w:cs="Times New Roman"/>
          <w:color w:val="000000"/>
          <w:sz w:val="28"/>
          <w:szCs w:val="28"/>
        </w:rPr>
        <w:t xml:space="preserve">. 2015. Т 4. С. 31–34.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20" w:name="_heading=h.3j2qqm3" w:colFirst="0" w:colLast="0"/>
      <w:bookmarkEnd w:id="20"/>
      <w:r>
        <w:rPr>
          <w:rFonts w:ascii="Times New Roman" w:eastAsia="Times New Roman" w:hAnsi="Times New Roman" w:cs="Times New Roman"/>
          <w:color w:val="000000"/>
          <w:sz w:val="28"/>
          <w:szCs w:val="28"/>
        </w:rPr>
        <w:t>Канаан С. Х., Матійчук В. І., Маслова О. В., Хабинець Т. О., Хуана Х. Зміст та структура технології фізкультурно-оздоровчих занять із жінками 36–40 років з урахуванням індив</w:t>
      </w:r>
      <w:r>
        <w:rPr>
          <w:rFonts w:ascii="Times New Roman" w:eastAsia="Times New Roman" w:hAnsi="Times New Roman" w:cs="Times New Roman"/>
          <w:color w:val="000000"/>
          <w:sz w:val="28"/>
          <w:szCs w:val="28"/>
        </w:rPr>
        <w:t>ідуальних особливостей просторової організації їхнього тіла. </w:t>
      </w:r>
      <w:r>
        <w:rPr>
          <w:rFonts w:ascii="Times New Roman" w:eastAsia="Times New Roman" w:hAnsi="Times New Roman" w:cs="Times New Roman"/>
          <w:i/>
          <w:color w:val="000000"/>
          <w:sz w:val="28"/>
          <w:szCs w:val="28"/>
        </w:rPr>
        <w:t>Rehabilitation and Recreation</w:t>
      </w:r>
      <w:r>
        <w:rPr>
          <w:rFonts w:ascii="Times New Roman" w:eastAsia="Times New Roman" w:hAnsi="Times New Roman" w:cs="Times New Roman"/>
          <w:color w:val="000000"/>
          <w:sz w:val="28"/>
          <w:szCs w:val="28"/>
        </w:rPr>
        <w:t xml:space="preserve">. 2023. Вип. 17. С. 207–215.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1" w:name="_heading=h.1y810tw" w:colFirst="0" w:colLast="0"/>
      <w:bookmarkEnd w:id="21"/>
      <w:r>
        <w:rPr>
          <w:rFonts w:ascii="Times New Roman" w:eastAsia="Times New Roman" w:hAnsi="Times New Roman" w:cs="Times New Roman"/>
          <w:color w:val="000000"/>
          <w:sz w:val="28"/>
          <w:szCs w:val="28"/>
        </w:rPr>
        <w:t xml:space="preserve">Килимистий М. М. Сучасні підходи до впровадження оздоровчого фітнесу для чоловіків другого зрілого віку. </w:t>
      </w:r>
      <w:r>
        <w:rPr>
          <w:rFonts w:ascii="Times New Roman" w:eastAsia="Times New Roman" w:hAnsi="Times New Roman" w:cs="Times New Roman"/>
          <w:i/>
          <w:color w:val="000000"/>
          <w:sz w:val="28"/>
          <w:szCs w:val="28"/>
        </w:rPr>
        <w:t>Спортивний вісник Придніпров’я</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2015. № 1. С. 76–79.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2" w:name="_heading=h.4i7ojhp" w:colFirst="0" w:colLast="0"/>
      <w:bookmarkEnd w:id="22"/>
      <w:r>
        <w:rPr>
          <w:rFonts w:ascii="Times New Roman" w:eastAsia="Times New Roman" w:hAnsi="Times New Roman" w:cs="Times New Roman"/>
          <w:color w:val="000000"/>
          <w:sz w:val="28"/>
          <w:szCs w:val="28"/>
        </w:rPr>
        <w:t>Комісова Т. Є., Мамотенко А. В., Коваленко Л. П., Іонов І. А., Катеринич О. О., Сахацький Г. І. Вікова анатомія та фізіологія людини : навч. посіб. Харків : ФОП Петров В. В., 2021. 112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3" w:name="_heading=h.2xcytpi" w:colFirst="0" w:colLast="0"/>
      <w:bookmarkEnd w:id="23"/>
      <w:r>
        <w:rPr>
          <w:rFonts w:ascii="Times New Roman" w:eastAsia="Times New Roman" w:hAnsi="Times New Roman" w:cs="Times New Roman"/>
          <w:color w:val="000000"/>
          <w:sz w:val="28"/>
          <w:szCs w:val="28"/>
        </w:rPr>
        <w:t>Коц С. М., Коц В. П. Вікова анатомія і фізіо</w:t>
      </w:r>
      <w:r>
        <w:rPr>
          <w:rFonts w:ascii="Times New Roman" w:eastAsia="Times New Roman" w:hAnsi="Times New Roman" w:cs="Times New Roman"/>
          <w:color w:val="000000"/>
          <w:sz w:val="28"/>
          <w:szCs w:val="28"/>
        </w:rPr>
        <w:t>логія людини : навч. посіб. Харків : ХНПУ, 2022. 300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4" w:name="_heading=h.1ci93xb" w:colFirst="0" w:colLast="0"/>
      <w:bookmarkEnd w:id="24"/>
      <w:r>
        <w:rPr>
          <w:rFonts w:ascii="Times New Roman" w:eastAsia="Times New Roman" w:hAnsi="Times New Roman" w:cs="Times New Roman"/>
          <w:color w:val="000000"/>
          <w:sz w:val="28"/>
          <w:szCs w:val="28"/>
        </w:rPr>
        <w:t>Коцан І. Я., Швайко С. Є., Дмитроца О. Р. Вікова фізіологія : навч. посіб. Луцьк : Вежа-Друк, 2013. 376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5" w:name="_heading=h.3whwml4" w:colFirst="0" w:colLast="0"/>
      <w:bookmarkEnd w:id="25"/>
      <w:r>
        <w:rPr>
          <w:rFonts w:ascii="Times New Roman" w:eastAsia="Times New Roman" w:hAnsi="Times New Roman" w:cs="Times New Roman"/>
          <w:color w:val="000000"/>
          <w:sz w:val="28"/>
          <w:szCs w:val="28"/>
        </w:rPr>
        <w:t>Круцевич Т. Ю., Безверхня Г. В. Рекреація у фізичній культурі різних груп населення: навч. по</w:t>
      </w:r>
      <w:r>
        <w:rPr>
          <w:rFonts w:ascii="Times New Roman" w:eastAsia="Times New Roman" w:hAnsi="Times New Roman" w:cs="Times New Roman"/>
          <w:color w:val="000000"/>
          <w:sz w:val="28"/>
          <w:szCs w:val="28"/>
        </w:rPr>
        <w:t>сіб. Київ : Олімп. література, 2010. 370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26" w:name="_heading=h.2bn6wsx" w:colFirst="0" w:colLast="0"/>
      <w:bookmarkEnd w:id="26"/>
      <w:r>
        <w:rPr>
          <w:rFonts w:ascii="Times New Roman" w:eastAsia="Times New Roman" w:hAnsi="Times New Roman" w:cs="Times New Roman"/>
          <w:color w:val="000000"/>
          <w:sz w:val="28"/>
          <w:szCs w:val="28"/>
          <w:highlight w:val="white"/>
        </w:rPr>
        <w:t>Круцевич Т. Ю., Воробйов М. І., Безверхня Г. В. Контроль у фізичному вихованні дітей, підлітків і молоді : навчальний посібник. Київ: Олімпійська література, 2011. 224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7" w:name="_heading=h.qsh70q" w:colFirst="0" w:colLast="0"/>
      <w:bookmarkEnd w:id="27"/>
      <w:r>
        <w:rPr>
          <w:rFonts w:ascii="Times New Roman" w:eastAsia="Times New Roman" w:hAnsi="Times New Roman" w:cs="Times New Roman"/>
          <w:color w:val="000000"/>
          <w:sz w:val="28"/>
          <w:szCs w:val="28"/>
        </w:rPr>
        <w:t xml:space="preserve">Кучер С. В., Воронцова  Т. О., Смачило І. В., Верещагіна Н. Я., Ганьбергер І. І., Горішній І. М. Оцінка якості життя за допомогою опитувальника  SF-36: аналіз літературних даних. </w:t>
      </w:r>
      <w:r>
        <w:rPr>
          <w:rFonts w:ascii="Times New Roman" w:eastAsia="Times New Roman" w:hAnsi="Times New Roman" w:cs="Times New Roman"/>
          <w:i/>
          <w:color w:val="000000"/>
          <w:sz w:val="28"/>
          <w:szCs w:val="28"/>
        </w:rPr>
        <w:t>Перспективи та інновації науки. Педагогіка. Психологія. Медицина.</w:t>
      </w:r>
      <w:r>
        <w:rPr>
          <w:rFonts w:ascii="Times New Roman" w:eastAsia="Times New Roman" w:hAnsi="Times New Roman" w:cs="Times New Roman"/>
          <w:color w:val="000000"/>
          <w:sz w:val="28"/>
          <w:szCs w:val="28"/>
        </w:rPr>
        <w:t xml:space="preserve"> 2024. 4 (38</w:t>
      </w:r>
      <w:r>
        <w:rPr>
          <w:rFonts w:ascii="Times New Roman" w:eastAsia="Times New Roman" w:hAnsi="Times New Roman" w:cs="Times New Roman"/>
          <w:color w:val="000000"/>
          <w:sz w:val="28"/>
          <w:szCs w:val="28"/>
        </w:rPr>
        <w:t>). С. 1313–1324.</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8" w:name="_heading=h.3as4poj" w:colFirst="0" w:colLast="0"/>
      <w:bookmarkEnd w:id="28"/>
      <w:r>
        <w:rPr>
          <w:rFonts w:ascii="Times New Roman" w:eastAsia="Times New Roman" w:hAnsi="Times New Roman" w:cs="Times New Roman"/>
          <w:color w:val="000000"/>
          <w:sz w:val="28"/>
          <w:szCs w:val="28"/>
        </w:rPr>
        <w:t xml:space="preserve">Микитчик О. С., Цуканов О. М. Гендерні особливості залученості осіб зрілого віку до оздоровчо-рекреаційної рухової активності під час </w:t>
      </w:r>
      <w:r>
        <w:rPr>
          <w:rFonts w:ascii="Times New Roman" w:eastAsia="Times New Roman" w:hAnsi="Times New Roman" w:cs="Times New Roman"/>
          <w:color w:val="000000"/>
          <w:sz w:val="28"/>
          <w:szCs w:val="28"/>
        </w:rPr>
        <w:lastRenderedPageBreak/>
        <w:t xml:space="preserve">воєнного стану. </w:t>
      </w:r>
      <w:r>
        <w:rPr>
          <w:rFonts w:ascii="Times New Roman" w:eastAsia="Times New Roman" w:hAnsi="Times New Roman" w:cs="Times New Roman"/>
          <w:i/>
          <w:color w:val="000000"/>
          <w:sz w:val="28"/>
          <w:szCs w:val="28"/>
        </w:rPr>
        <w:t>Науковий часопис Українського державного університету імені Михайла Драгоманова</w:t>
      </w:r>
      <w:r>
        <w:rPr>
          <w:rFonts w:ascii="Times New Roman" w:eastAsia="Times New Roman" w:hAnsi="Times New Roman" w:cs="Times New Roman"/>
          <w:color w:val="000000"/>
          <w:sz w:val="28"/>
          <w:szCs w:val="28"/>
        </w:rPr>
        <w:t>. 2024. Ви</w:t>
      </w:r>
      <w:r>
        <w:rPr>
          <w:rFonts w:ascii="Times New Roman" w:eastAsia="Times New Roman" w:hAnsi="Times New Roman" w:cs="Times New Roman"/>
          <w:color w:val="000000"/>
          <w:sz w:val="28"/>
          <w:szCs w:val="28"/>
        </w:rPr>
        <w:t>п. 9 (182). С. 170–175.</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29" w:name="_heading=h.1pxezwc" w:colFirst="0" w:colLast="0"/>
      <w:bookmarkEnd w:id="29"/>
      <w:r>
        <w:rPr>
          <w:rFonts w:ascii="Times New Roman" w:eastAsia="Times New Roman" w:hAnsi="Times New Roman" w:cs="Times New Roman"/>
          <w:color w:val="000000"/>
          <w:sz w:val="28"/>
          <w:szCs w:val="28"/>
        </w:rPr>
        <w:t>Мироненко С. Серцево-судинна система: норма та патологія. Загальні основи кардіореабілітації. </w:t>
      </w:r>
      <w:r>
        <w:rPr>
          <w:rFonts w:ascii="Times New Roman" w:eastAsia="Times New Roman" w:hAnsi="Times New Roman" w:cs="Times New Roman"/>
          <w:i/>
          <w:color w:val="000000"/>
          <w:sz w:val="28"/>
          <w:szCs w:val="28"/>
        </w:rPr>
        <w:t>Педагогічні науки</w:t>
      </w:r>
      <w:r>
        <w:rPr>
          <w:rFonts w:ascii="Times New Roman" w:eastAsia="Times New Roman" w:hAnsi="Times New Roman" w:cs="Times New Roman"/>
          <w:color w:val="000000"/>
          <w:sz w:val="28"/>
          <w:szCs w:val="28"/>
        </w:rPr>
        <w:t>. 2024. № 1. С. 53–60.</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0" w:name="_heading=h.49x2ik5" w:colFirst="0" w:colLast="0"/>
      <w:bookmarkEnd w:id="30"/>
      <w:r>
        <w:rPr>
          <w:rFonts w:ascii="Times New Roman" w:eastAsia="Times New Roman" w:hAnsi="Times New Roman" w:cs="Times New Roman"/>
          <w:color w:val="000000"/>
          <w:sz w:val="28"/>
          <w:szCs w:val="28"/>
        </w:rPr>
        <w:t>Мороз О. В. Рекреаційно-оздоровчий ефект занять плаванням у осіб другого зрілого віку в умовах фіт</w:t>
      </w:r>
      <w:r>
        <w:rPr>
          <w:rFonts w:ascii="Times New Roman" w:eastAsia="Times New Roman" w:hAnsi="Times New Roman" w:cs="Times New Roman"/>
          <w:color w:val="000000"/>
          <w:sz w:val="28"/>
          <w:szCs w:val="28"/>
        </w:rPr>
        <w:t xml:space="preserve">нес-клубів. </w:t>
      </w:r>
      <w:r>
        <w:rPr>
          <w:rFonts w:ascii="Times New Roman" w:eastAsia="Times New Roman" w:hAnsi="Times New Roman" w:cs="Times New Roman"/>
          <w:i/>
          <w:color w:val="000000"/>
          <w:sz w:val="28"/>
          <w:szCs w:val="28"/>
        </w:rPr>
        <w:t>Фізичне виховання: теорія і практика: Часопис кафедри теорії і методики фізичного виховання, адаптивної та масової фізичної культури ПНПУ імені В.Г. Короленка.</w:t>
      </w:r>
      <w:r>
        <w:rPr>
          <w:rFonts w:ascii="Times New Roman" w:eastAsia="Times New Roman" w:hAnsi="Times New Roman" w:cs="Times New Roman"/>
          <w:color w:val="000000"/>
          <w:sz w:val="28"/>
          <w:szCs w:val="28"/>
        </w:rPr>
        <w:t xml:space="preserve"> 2018. № 4. С. 110–113.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1" w:name="_heading=h.2p2csry" w:colFirst="0" w:colLast="0"/>
      <w:bookmarkEnd w:id="31"/>
      <w:r>
        <w:rPr>
          <w:rFonts w:ascii="Times New Roman" w:eastAsia="Times New Roman" w:hAnsi="Times New Roman" w:cs="Times New Roman"/>
          <w:color w:val="000000"/>
          <w:sz w:val="28"/>
          <w:szCs w:val="28"/>
        </w:rPr>
        <w:t>Москаленко Н. В., Пацалюк К. Г. Особливості побудови програм</w:t>
      </w:r>
      <w:r>
        <w:rPr>
          <w:rFonts w:ascii="Times New Roman" w:eastAsia="Times New Roman" w:hAnsi="Times New Roman" w:cs="Times New Roman"/>
          <w:color w:val="000000"/>
          <w:sz w:val="28"/>
          <w:szCs w:val="28"/>
        </w:rPr>
        <w:t xml:space="preserve"> фізкультурно-оздоровчих занять для осіб зрілого віку. </w:t>
      </w:r>
      <w:r>
        <w:rPr>
          <w:rFonts w:ascii="Times New Roman" w:eastAsia="Times New Roman" w:hAnsi="Times New Roman" w:cs="Times New Roman"/>
          <w:i/>
          <w:color w:val="000000"/>
          <w:sz w:val="28"/>
          <w:szCs w:val="28"/>
        </w:rPr>
        <w:t>Молодіжний науковий вісник Східноєвропейського національного університету імені Лесі Українки</w:t>
      </w:r>
      <w:r>
        <w:rPr>
          <w:rFonts w:ascii="Times New Roman" w:eastAsia="Times New Roman" w:hAnsi="Times New Roman" w:cs="Times New Roman"/>
          <w:color w:val="000000"/>
          <w:sz w:val="28"/>
          <w:szCs w:val="28"/>
        </w:rPr>
        <w:t xml:space="preserve">. 2016. Вип. 24. С. 59–63.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2" w:name="_heading=h.147n2zr" w:colFirst="0" w:colLast="0"/>
      <w:bookmarkEnd w:id="32"/>
      <w:r>
        <w:rPr>
          <w:rFonts w:ascii="Times New Roman" w:eastAsia="Times New Roman" w:hAnsi="Times New Roman" w:cs="Times New Roman"/>
          <w:color w:val="000000"/>
          <w:sz w:val="28"/>
          <w:szCs w:val="28"/>
        </w:rPr>
        <w:t>Олексієнко Я. І., Гунько П. М. Теорія, види та технології оздоровчо-рекреаційної</w:t>
      </w:r>
      <w:r>
        <w:rPr>
          <w:rFonts w:ascii="Times New Roman" w:eastAsia="Times New Roman" w:hAnsi="Times New Roman" w:cs="Times New Roman"/>
          <w:color w:val="000000"/>
          <w:sz w:val="28"/>
          <w:szCs w:val="28"/>
        </w:rPr>
        <w:t xml:space="preserve"> рухової діяльності : навч.-метод. посіб. Черкаси : ЧНУ імені Б. Хмельницького, 2018. 260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3" w:name="_heading=h.3o7alnk" w:colFirst="0" w:colLast="0"/>
      <w:bookmarkEnd w:id="33"/>
      <w:r>
        <w:rPr>
          <w:rFonts w:ascii="Times New Roman" w:eastAsia="Times New Roman" w:hAnsi="Times New Roman" w:cs="Times New Roman"/>
          <w:color w:val="000000"/>
          <w:sz w:val="28"/>
          <w:szCs w:val="28"/>
        </w:rPr>
        <w:t xml:space="preserve">Олійник Н. А. Рухова активність і здоров’я різних верств населення. Вінниця: ВНАУ, 2018. 55 с.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4" w:name="_heading=h.23ckvvd" w:colFirst="0" w:colLast="0"/>
      <w:bookmarkEnd w:id="34"/>
      <w:r>
        <w:rPr>
          <w:rFonts w:ascii="Times New Roman" w:eastAsia="Times New Roman" w:hAnsi="Times New Roman" w:cs="Times New Roman"/>
          <w:color w:val="000000"/>
          <w:sz w:val="28"/>
          <w:szCs w:val="28"/>
        </w:rPr>
        <w:t xml:space="preserve">Пензай С. А. Організаційно-методичні аспекти програмування профілактикооздоровчих занять для чоловіків другого зрілого віку. </w:t>
      </w:r>
      <w:r>
        <w:rPr>
          <w:rFonts w:ascii="Times New Roman" w:eastAsia="Times New Roman" w:hAnsi="Times New Roman" w:cs="Times New Roman"/>
          <w:i/>
          <w:color w:val="000000"/>
          <w:sz w:val="28"/>
          <w:szCs w:val="28"/>
        </w:rPr>
        <w:t>Спортивний вісник Придніпров’я</w:t>
      </w:r>
      <w:r>
        <w:rPr>
          <w:rFonts w:ascii="Times New Roman" w:eastAsia="Times New Roman" w:hAnsi="Times New Roman" w:cs="Times New Roman"/>
          <w:color w:val="000000"/>
          <w:sz w:val="28"/>
          <w:szCs w:val="28"/>
        </w:rPr>
        <w:t>. 2012.  № 1. С. 101–104.</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5" w:name="_heading=h.ihv636" w:colFirst="0" w:colLast="0"/>
      <w:bookmarkEnd w:id="35"/>
      <w:r>
        <w:rPr>
          <w:rFonts w:ascii="Times New Roman" w:eastAsia="Times New Roman" w:hAnsi="Times New Roman" w:cs="Times New Roman"/>
          <w:color w:val="000000"/>
          <w:sz w:val="28"/>
          <w:szCs w:val="28"/>
        </w:rPr>
        <w:t>Редькіна М. А. Методика визначення індивідуальної рухової активності студен</w:t>
      </w:r>
      <w:r>
        <w:rPr>
          <w:rFonts w:ascii="Times New Roman" w:eastAsia="Times New Roman" w:hAnsi="Times New Roman" w:cs="Times New Roman"/>
          <w:color w:val="000000"/>
          <w:sz w:val="28"/>
          <w:szCs w:val="28"/>
        </w:rPr>
        <w:t xml:space="preserve">тів у процесі фізичного виховання : дис. ... канд. пед. наук : 13.00.02. Київ, 2020. 197 с.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36" w:name="_heading=h.32hioqz" w:colFirst="0" w:colLast="0"/>
      <w:bookmarkEnd w:id="36"/>
      <w:r>
        <w:rPr>
          <w:rFonts w:ascii="Times New Roman" w:eastAsia="Times New Roman" w:hAnsi="Times New Roman" w:cs="Times New Roman"/>
          <w:color w:val="000000"/>
          <w:sz w:val="28"/>
          <w:szCs w:val="28"/>
          <w:highlight w:val="white"/>
        </w:rPr>
        <w:t xml:space="preserve">Руденок А. І., Антонова З. О., Петяк О. В. Особливості саморегуляції студентів під час дистанційного навчання. </w:t>
      </w:r>
      <w:r>
        <w:rPr>
          <w:rFonts w:ascii="Times New Roman" w:eastAsia="Times New Roman" w:hAnsi="Times New Roman" w:cs="Times New Roman"/>
          <w:i/>
          <w:color w:val="000000"/>
          <w:sz w:val="28"/>
          <w:szCs w:val="28"/>
          <w:highlight w:val="white"/>
        </w:rPr>
        <w:t xml:space="preserve">Вчені записки ТНУ ім. В.І. Вернадського. </w:t>
      </w:r>
      <w:r>
        <w:rPr>
          <w:rFonts w:ascii="Times New Roman" w:eastAsia="Times New Roman" w:hAnsi="Times New Roman" w:cs="Times New Roman"/>
          <w:color w:val="000000"/>
          <w:sz w:val="28"/>
          <w:szCs w:val="28"/>
          <w:highlight w:val="white"/>
        </w:rPr>
        <w:t xml:space="preserve">2022. № 1 </w:t>
      </w:r>
      <w:r>
        <w:rPr>
          <w:rFonts w:ascii="Times New Roman" w:eastAsia="Times New Roman" w:hAnsi="Times New Roman" w:cs="Times New Roman"/>
          <w:color w:val="000000"/>
          <w:sz w:val="28"/>
          <w:szCs w:val="28"/>
          <w:highlight w:val="white"/>
        </w:rPr>
        <w:t>С. 166–171.</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7" w:name="_heading=h.1hmsyys" w:colFirst="0" w:colLast="0"/>
      <w:bookmarkEnd w:id="37"/>
      <w:r>
        <w:rPr>
          <w:rFonts w:ascii="Times New Roman" w:eastAsia="Times New Roman" w:hAnsi="Times New Roman" w:cs="Times New Roman"/>
          <w:color w:val="000000"/>
          <w:sz w:val="28"/>
          <w:szCs w:val="28"/>
        </w:rPr>
        <w:t xml:space="preserve">Савитська Н. О., Блажиєвський Г. В. Ритмічна гімнастика: побудова комплексів та методика проведення занять. </w:t>
      </w:r>
      <w:r>
        <w:rPr>
          <w:rFonts w:ascii="Times New Roman" w:eastAsia="Times New Roman" w:hAnsi="Times New Roman" w:cs="Times New Roman"/>
          <w:i/>
          <w:color w:val="000000"/>
          <w:sz w:val="28"/>
          <w:szCs w:val="28"/>
        </w:rPr>
        <w:t xml:space="preserve">Фізичне виховання та </w:t>
      </w:r>
      <w:r>
        <w:rPr>
          <w:rFonts w:ascii="Times New Roman" w:eastAsia="Times New Roman" w:hAnsi="Times New Roman" w:cs="Times New Roman"/>
          <w:i/>
          <w:color w:val="000000"/>
          <w:sz w:val="28"/>
          <w:szCs w:val="28"/>
        </w:rPr>
        <w:lastRenderedPageBreak/>
        <w:t>спорт у контексті державної програми розвитку фізичної культури в Україні: досвід, проблеми, перспективи.</w:t>
      </w:r>
      <w:r>
        <w:rPr>
          <w:rFonts w:ascii="Times New Roman" w:eastAsia="Times New Roman" w:hAnsi="Times New Roman" w:cs="Times New Roman"/>
          <w:color w:val="000000"/>
          <w:sz w:val="28"/>
          <w:szCs w:val="28"/>
        </w:rPr>
        <w:t xml:space="preserve"> Житомир, 2015. С. 97–99.</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8" w:name="_heading=h.41mghml" w:colFirst="0" w:colLast="0"/>
      <w:bookmarkEnd w:id="38"/>
      <w:r>
        <w:rPr>
          <w:rFonts w:ascii="Times New Roman" w:eastAsia="Times New Roman" w:hAnsi="Times New Roman" w:cs="Times New Roman"/>
          <w:color w:val="000000"/>
          <w:sz w:val="28"/>
          <w:szCs w:val="28"/>
        </w:rPr>
        <w:t xml:space="preserve">Савіна С. Оцінка впливу оздоровчої фітнес-технології на фізичний стан жінок другого періоду зрілого віку за динамікою антропометричних показників. </w:t>
      </w:r>
      <w:r>
        <w:rPr>
          <w:rFonts w:ascii="Times New Roman" w:eastAsia="Times New Roman" w:hAnsi="Times New Roman" w:cs="Times New Roman"/>
          <w:i/>
          <w:color w:val="000000"/>
          <w:sz w:val="28"/>
          <w:szCs w:val="28"/>
        </w:rPr>
        <w:t>Теорія і методика фізичного виховання і спорту</w:t>
      </w:r>
      <w:r>
        <w:rPr>
          <w:rFonts w:ascii="Times New Roman" w:eastAsia="Times New Roman" w:hAnsi="Times New Roman" w:cs="Times New Roman"/>
          <w:color w:val="000000"/>
          <w:sz w:val="28"/>
          <w:szCs w:val="28"/>
        </w:rPr>
        <w:t>. 2021. № 2. С. 90–97.</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9" w:name="_heading=h.2grqrue" w:colFirst="0" w:colLast="0"/>
      <w:bookmarkEnd w:id="39"/>
      <w:r>
        <w:rPr>
          <w:rFonts w:ascii="Times New Roman" w:eastAsia="Times New Roman" w:hAnsi="Times New Roman" w:cs="Times New Roman"/>
          <w:color w:val="000000"/>
          <w:sz w:val="28"/>
          <w:szCs w:val="28"/>
        </w:rPr>
        <w:t xml:space="preserve">Тимочко О. І. </w:t>
      </w:r>
      <w:r>
        <w:rPr>
          <w:rFonts w:ascii="Times New Roman" w:eastAsia="Times New Roman" w:hAnsi="Times New Roman" w:cs="Times New Roman"/>
          <w:color w:val="000000"/>
          <w:sz w:val="28"/>
          <w:szCs w:val="28"/>
        </w:rPr>
        <w:t xml:space="preserve">Вплив занять атлетичною гімнастикою в сучасних фізкультурно-оздоровчих закладах на фізичний розвиток чоловіків першого зрілого віку. </w:t>
      </w:r>
      <w:r>
        <w:rPr>
          <w:rFonts w:ascii="Times New Roman" w:eastAsia="Times New Roman" w:hAnsi="Times New Roman" w:cs="Times New Roman"/>
          <w:i/>
          <w:color w:val="000000"/>
          <w:sz w:val="28"/>
          <w:szCs w:val="28"/>
        </w:rPr>
        <w:t>Науковий вісник Ужгородського національного університету</w:t>
      </w:r>
      <w:r>
        <w:rPr>
          <w:rFonts w:ascii="Times New Roman" w:eastAsia="Times New Roman" w:hAnsi="Times New Roman" w:cs="Times New Roman"/>
          <w:color w:val="000000"/>
          <w:sz w:val="28"/>
          <w:szCs w:val="28"/>
        </w:rPr>
        <w:t xml:space="preserve">. 2014. Вип. 31. С. 179–182.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0" w:name="_heading=h.vx1227" w:colFirst="0" w:colLast="0"/>
      <w:bookmarkEnd w:id="40"/>
      <w:r>
        <w:rPr>
          <w:rFonts w:ascii="Times New Roman" w:eastAsia="Times New Roman" w:hAnsi="Times New Roman" w:cs="Times New Roman"/>
          <w:color w:val="000000"/>
          <w:sz w:val="28"/>
          <w:szCs w:val="28"/>
        </w:rPr>
        <w:t>Товт В. А. Теорія і методика фізичног</w:t>
      </w:r>
      <w:r>
        <w:rPr>
          <w:rFonts w:ascii="Times New Roman" w:eastAsia="Times New Roman" w:hAnsi="Times New Roman" w:cs="Times New Roman"/>
          <w:color w:val="000000"/>
          <w:sz w:val="28"/>
          <w:szCs w:val="28"/>
        </w:rPr>
        <w:t xml:space="preserve">о виховання дорослого населення та фізичної підготовки у Збройних Силах України : навч. посіб. Ужгород : ПП «Графіка», 2010. 76 с.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1" w:name="_heading=h.3fwokq0" w:colFirst="0" w:colLast="0"/>
      <w:bookmarkEnd w:id="41"/>
      <w:r>
        <w:rPr>
          <w:rFonts w:ascii="Times New Roman" w:eastAsia="Times New Roman" w:hAnsi="Times New Roman" w:cs="Times New Roman"/>
          <w:color w:val="000000"/>
          <w:sz w:val="28"/>
          <w:szCs w:val="28"/>
        </w:rPr>
        <w:t>Товт В. А., Маріонда І. І., Сивохоп Е. М., Сусла В. Я. Теорія і технології оздоровчо-рекреаційної рухової активності : навч.</w:t>
      </w:r>
      <w:r>
        <w:rPr>
          <w:rFonts w:ascii="Times New Roman" w:eastAsia="Times New Roman" w:hAnsi="Times New Roman" w:cs="Times New Roman"/>
          <w:color w:val="000000"/>
          <w:sz w:val="28"/>
          <w:szCs w:val="28"/>
        </w:rPr>
        <w:t xml:space="preserve"> посіб. Ужгород : «Говерла», 2015. 88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2" w:name="_heading=h.1v1yuxt" w:colFirst="0" w:colLast="0"/>
      <w:bookmarkEnd w:id="42"/>
      <w:r>
        <w:rPr>
          <w:rFonts w:ascii="Times New Roman" w:eastAsia="Times New Roman" w:hAnsi="Times New Roman" w:cs="Times New Roman"/>
          <w:color w:val="000000"/>
          <w:sz w:val="28"/>
          <w:szCs w:val="28"/>
        </w:rPr>
        <w:t xml:space="preserve">Томіліна Ю. І. Застосування комп’ютерних технологій у фізичному вихованні жінок першого періоду зрілого віку. </w:t>
      </w:r>
      <w:r>
        <w:rPr>
          <w:rFonts w:ascii="Times New Roman" w:eastAsia="Times New Roman" w:hAnsi="Times New Roman" w:cs="Times New Roman"/>
          <w:i/>
          <w:color w:val="000000"/>
          <w:sz w:val="28"/>
          <w:szCs w:val="28"/>
        </w:rPr>
        <w:t>Слобожанський науково-спортивний вісник</w:t>
      </w:r>
      <w:r>
        <w:rPr>
          <w:rFonts w:ascii="Times New Roman" w:eastAsia="Times New Roman" w:hAnsi="Times New Roman" w:cs="Times New Roman"/>
          <w:color w:val="000000"/>
          <w:sz w:val="28"/>
          <w:szCs w:val="28"/>
        </w:rPr>
        <w:t>. 2016. № 4. С. 106–110.</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3" w:name="_heading=h.4f1mdlm" w:colFirst="0" w:colLast="0"/>
      <w:bookmarkEnd w:id="43"/>
      <w:r>
        <w:rPr>
          <w:rFonts w:ascii="Times New Roman" w:eastAsia="Times New Roman" w:hAnsi="Times New Roman" w:cs="Times New Roman"/>
          <w:color w:val="000000"/>
          <w:sz w:val="28"/>
          <w:szCs w:val="28"/>
        </w:rPr>
        <w:t>Футорний С., Калитка С., Мацкевич Н., Род</w:t>
      </w:r>
      <w:r>
        <w:rPr>
          <w:rFonts w:ascii="Times New Roman" w:eastAsia="Times New Roman" w:hAnsi="Times New Roman" w:cs="Times New Roman"/>
          <w:color w:val="000000"/>
          <w:sz w:val="28"/>
          <w:szCs w:val="28"/>
        </w:rPr>
        <w:t xml:space="preserve">а О., Михалевський В. Вплив занять оздоровчою ходьбою на фізичний стан чоловіків другого зрілого віку. </w:t>
      </w:r>
      <w:r>
        <w:rPr>
          <w:rFonts w:ascii="Times New Roman" w:eastAsia="Times New Roman" w:hAnsi="Times New Roman" w:cs="Times New Roman"/>
          <w:i/>
          <w:color w:val="000000"/>
          <w:sz w:val="28"/>
          <w:szCs w:val="28"/>
        </w:rPr>
        <w:t>Фізичне виховання, спорт і культура здоров’я у сучасному суспільстві</w:t>
      </w:r>
      <w:r>
        <w:rPr>
          <w:rFonts w:ascii="Times New Roman" w:eastAsia="Times New Roman" w:hAnsi="Times New Roman" w:cs="Times New Roman"/>
          <w:color w:val="000000"/>
          <w:sz w:val="28"/>
          <w:szCs w:val="28"/>
        </w:rPr>
        <w:t>. 2015. Вип. 3 (31). С. 187–190.</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4" w:name="_heading=h.2u6wntf" w:colFirst="0" w:colLast="0"/>
      <w:bookmarkEnd w:id="44"/>
      <w:r>
        <w:rPr>
          <w:rFonts w:ascii="Times New Roman" w:eastAsia="Times New Roman" w:hAnsi="Times New Roman" w:cs="Times New Roman"/>
          <w:color w:val="000000"/>
          <w:sz w:val="28"/>
          <w:szCs w:val="28"/>
        </w:rPr>
        <w:t>Цизман В. Е. Оздоровчо-рекреаційна програма корекції</w:t>
      </w:r>
      <w:r>
        <w:rPr>
          <w:rFonts w:ascii="Times New Roman" w:eastAsia="Times New Roman" w:hAnsi="Times New Roman" w:cs="Times New Roman"/>
          <w:color w:val="000000"/>
          <w:sz w:val="28"/>
          <w:szCs w:val="28"/>
        </w:rPr>
        <w:t xml:space="preserve"> психоемоційного стану жінок другого зрілого віку (працівників соціономічних професій). </w:t>
      </w:r>
      <w:r>
        <w:rPr>
          <w:rFonts w:ascii="Times New Roman" w:eastAsia="Times New Roman" w:hAnsi="Times New Roman" w:cs="Times New Roman"/>
          <w:i/>
          <w:color w:val="000000"/>
          <w:sz w:val="28"/>
          <w:szCs w:val="28"/>
        </w:rPr>
        <w:t>Trends in science and practice of today</w:t>
      </w:r>
      <w:r>
        <w:rPr>
          <w:rFonts w:ascii="Times New Roman" w:eastAsia="Times New Roman" w:hAnsi="Times New Roman" w:cs="Times New Roman"/>
          <w:color w:val="000000"/>
          <w:sz w:val="28"/>
          <w:szCs w:val="28"/>
        </w:rPr>
        <w:t xml:space="preserve">. 2021. № 5. С. 381.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5" w:name="_heading=h.19c6y18" w:colFirst="0" w:colLast="0"/>
      <w:bookmarkEnd w:id="45"/>
      <w:r>
        <w:rPr>
          <w:rFonts w:ascii="Times New Roman" w:eastAsia="Times New Roman" w:hAnsi="Times New Roman" w:cs="Times New Roman"/>
          <w:color w:val="000000"/>
          <w:sz w:val="28"/>
          <w:szCs w:val="28"/>
        </w:rPr>
        <w:t>Шафранський В. В. Щорічна доповідь про стан здоров’я населення, санітарно-епідемічну ситуацію та результати</w:t>
      </w:r>
      <w:r>
        <w:rPr>
          <w:rFonts w:ascii="Times New Roman" w:eastAsia="Times New Roman" w:hAnsi="Times New Roman" w:cs="Times New Roman"/>
          <w:color w:val="000000"/>
          <w:sz w:val="28"/>
          <w:szCs w:val="28"/>
        </w:rPr>
        <w:t xml:space="preserve"> діяльності системи охорони здоров’я України. МОЗ України, ДУ «УСІД МОЗ України». Київ, 2016. 452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6" w:name="_heading=h.3tbugp1" w:colFirst="0" w:colLast="0"/>
      <w:bookmarkEnd w:id="46"/>
      <w:r>
        <w:rPr>
          <w:rFonts w:ascii="Times New Roman" w:eastAsia="Times New Roman" w:hAnsi="Times New Roman" w:cs="Times New Roman"/>
          <w:color w:val="000000"/>
          <w:sz w:val="28"/>
          <w:szCs w:val="28"/>
        </w:rPr>
        <w:lastRenderedPageBreak/>
        <w:t xml:space="preserve">Шейко Л. В. Дослідження рівня фізичної підготовленості жінок, які займаються плаванням. </w:t>
      </w:r>
      <w:r>
        <w:rPr>
          <w:rFonts w:ascii="Times New Roman" w:eastAsia="Times New Roman" w:hAnsi="Times New Roman" w:cs="Times New Roman"/>
          <w:i/>
          <w:color w:val="000000"/>
          <w:sz w:val="28"/>
          <w:szCs w:val="28"/>
        </w:rPr>
        <w:t>Збірник наукових праць</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Основи побудови тренувального процесу в цик</w:t>
      </w:r>
      <w:r>
        <w:rPr>
          <w:rFonts w:ascii="Times New Roman" w:eastAsia="Times New Roman" w:hAnsi="Times New Roman" w:cs="Times New Roman"/>
          <w:i/>
          <w:color w:val="000000"/>
          <w:sz w:val="28"/>
          <w:szCs w:val="28"/>
        </w:rPr>
        <w:t xml:space="preserve">лічних та екстремальних видах спорту». </w:t>
      </w:r>
      <w:r>
        <w:rPr>
          <w:rFonts w:ascii="Times New Roman" w:eastAsia="Times New Roman" w:hAnsi="Times New Roman" w:cs="Times New Roman"/>
          <w:color w:val="000000"/>
          <w:sz w:val="28"/>
          <w:szCs w:val="28"/>
        </w:rPr>
        <w:t xml:space="preserve">2022. Вип. 6. С. 126–132.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7" w:name="_heading=h.28h4qwu" w:colFirst="0" w:colLast="0"/>
      <w:bookmarkEnd w:id="47"/>
      <w:r>
        <w:rPr>
          <w:rFonts w:ascii="Times New Roman" w:eastAsia="Times New Roman" w:hAnsi="Times New Roman" w:cs="Times New Roman"/>
          <w:color w:val="000000"/>
          <w:sz w:val="28"/>
          <w:szCs w:val="28"/>
        </w:rPr>
        <w:t xml:space="preserve">Шейко Л. В., Баламутова Н. М. Ефективність використання засобів спортивно-оздоровчого плавання у підвищенні фізичної підготовленості дівчин 17–21 років. </w:t>
      </w:r>
      <w:r>
        <w:rPr>
          <w:rFonts w:ascii="Times New Roman" w:eastAsia="Times New Roman" w:hAnsi="Times New Roman" w:cs="Times New Roman"/>
          <w:i/>
          <w:color w:val="000000"/>
          <w:sz w:val="28"/>
          <w:szCs w:val="28"/>
        </w:rPr>
        <w:t>Науковий часопис Українського державн</w:t>
      </w:r>
      <w:r>
        <w:rPr>
          <w:rFonts w:ascii="Times New Roman" w:eastAsia="Times New Roman" w:hAnsi="Times New Roman" w:cs="Times New Roman"/>
          <w:i/>
          <w:color w:val="000000"/>
          <w:sz w:val="28"/>
          <w:szCs w:val="28"/>
        </w:rPr>
        <w:t>ого університету імені Михайла Драгоманова. Науково-педагогічні проблеми фізичної культури (фізична культура і спорт)</w:t>
      </w:r>
      <w:r>
        <w:rPr>
          <w:rFonts w:ascii="Times New Roman" w:eastAsia="Times New Roman" w:hAnsi="Times New Roman" w:cs="Times New Roman"/>
          <w:color w:val="000000"/>
          <w:sz w:val="28"/>
          <w:szCs w:val="28"/>
        </w:rPr>
        <w:t>. 2024. Вип. 1 (173) 24. С. 168–172.</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8" w:name="_heading=h.nmf14n" w:colFirst="0" w:colLast="0"/>
      <w:bookmarkEnd w:id="48"/>
      <w:r>
        <w:rPr>
          <w:rFonts w:ascii="Times New Roman" w:eastAsia="Times New Roman" w:hAnsi="Times New Roman" w:cs="Times New Roman"/>
          <w:color w:val="000000"/>
          <w:sz w:val="28"/>
          <w:szCs w:val="28"/>
        </w:rPr>
        <w:t>Шепеленко Т. В. Фізична культура, фізичне удосконалення і здоровий спосіб життя в різні вікові періоди</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Фізичне виховання в сім’ї</w:t>
      </w:r>
      <w:r>
        <w:rPr>
          <w:rFonts w:ascii="Times New Roman" w:eastAsia="Times New Roman" w:hAnsi="Times New Roman" w:cs="Times New Roman"/>
          <w:color w:val="000000"/>
          <w:sz w:val="28"/>
          <w:szCs w:val="28"/>
        </w:rPr>
        <w:t xml:space="preserve"> : конспект лекції з дисципліни «Фізичне виховання». Харків : УкрДУЗТ, 2020. 59 с.</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9" w:name="_heading=h.37m2jsg" w:colFirst="0" w:colLast="0"/>
      <w:bookmarkEnd w:id="49"/>
      <w:r>
        <w:rPr>
          <w:rFonts w:ascii="Times New Roman" w:eastAsia="Times New Roman" w:hAnsi="Times New Roman" w:cs="Times New Roman"/>
          <w:color w:val="000000"/>
          <w:sz w:val="28"/>
          <w:szCs w:val="28"/>
        </w:rPr>
        <w:t xml:space="preserve">Щур Ю. В. Оздоровча ходьба як засіб кондиційного тренування жінок другого періоду зрілого віку. </w:t>
      </w:r>
      <w:r>
        <w:rPr>
          <w:rFonts w:ascii="Times New Roman" w:eastAsia="Times New Roman" w:hAnsi="Times New Roman" w:cs="Times New Roman"/>
          <w:i/>
          <w:color w:val="000000"/>
          <w:sz w:val="28"/>
          <w:szCs w:val="28"/>
        </w:rPr>
        <w:t>Науковий часопис Національного педагогічного уніве</w:t>
      </w:r>
      <w:r>
        <w:rPr>
          <w:rFonts w:ascii="Times New Roman" w:eastAsia="Times New Roman" w:hAnsi="Times New Roman" w:cs="Times New Roman"/>
          <w:i/>
          <w:color w:val="000000"/>
          <w:sz w:val="28"/>
          <w:szCs w:val="28"/>
        </w:rPr>
        <w:t>рситету імені М. П. Драгоманова</w:t>
      </w:r>
      <w:r>
        <w:rPr>
          <w:rFonts w:ascii="Times New Roman" w:eastAsia="Times New Roman" w:hAnsi="Times New Roman" w:cs="Times New Roman"/>
          <w:color w:val="000000"/>
          <w:sz w:val="28"/>
          <w:szCs w:val="28"/>
        </w:rPr>
        <w:t xml:space="preserve">. 2019. Вип. 3К (110). С. 615–620.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0" w:name="_heading=h.1mrcu09" w:colFirst="0" w:colLast="0"/>
      <w:bookmarkEnd w:id="50"/>
      <w:r>
        <w:rPr>
          <w:rFonts w:ascii="Times New Roman" w:eastAsia="Times New Roman" w:hAnsi="Times New Roman" w:cs="Times New Roman"/>
          <w:color w:val="000000"/>
          <w:sz w:val="28"/>
          <w:szCs w:val="28"/>
        </w:rPr>
        <w:t xml:space="preserve">Юшковська О. Г., Круцевич Т. Ю., Середовська В. Ю., Безверхня Г. В. Самостійні заняття з фізичного виховання : навч. посіб. Одеса : ОНМедУ, 2012. 364 с.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1" w:name="_heading=h.46r0co2" w:colFirst="0" w:colLast="0"/>
      <w:bookmarkEnd w:id="51"/>
      <w:r>
        <w:rPr>
          <w:rFonts w:ascii="Times New Roman" w:eastAsia="Times New Roman" w:hAnsi="Times New Roman" w:cs="Times New Roman"/>
          <w:color w:val="000000"/>
          <w:sz w:val="28"/>
          <w:szCs w:val="28"/>
        </w:rPr>
        <w:t xml:space="preserve">Campos Cezenário Gonçalves, et al. </w:t>
      </w:r>
      <w:r>
        <w:rPr>
          <w:rFonts w:ascii="Times New Roman" w:eastAsia="Times New Roman" w:hAnsi="Times New Roman" w:cs="Times New Roman"/>
          <w:color w:val="000000"/>
          <w:sz w:val="28"/>
          <w:szCs w:val="28"/>
        </w:rPr>
        <w:t>Physical activity and adolescent sexual maturity: a systematic review. </w:t>
      </w:r>
      <w:r>
        <w:rPr>
          <w:rFonts w:ascii="Times New Roman" w:eastAsia="Times New Roman" w:hAnsi="Times New Roman" w:cs="Times New Roman"/>
          <w:i/>
          <w:color w:val="000000"/>
          <w:sz w:val="28"/>
          <w:szCs w:val="28"/>
        </w:rPr>
        <w:t xml:space="preserve">Ciência &amp; Saúde Coletiva. </w:t>
      </w:r>
      <w:r>
        <w:rPr>
          <w:rFonts w:ascii="Times New Roman" w:eastAsia="Times New Roman" w:hAnsi="Times New Roman" w:cs="Times New Roman"/>
          <w:color w:val="000000"/>
          <w:sz w:val="28"/>
          <w:szCs w:val="28"/>
        </w:rPr>
        <w:t>2021. Vol. 26. P. 1823-1832.</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2" w:name="_heading=h.2lwamvv" w:colFirst="0" w:colLast="0"/>
      <w:bookmarkEnd w:id="52"/>
      <w:r>
        <w:rPr>
          <w:rFonts w:ascii="Times New Roman" w:eastAsia="Times New Roman" w:hAnsi="Times New Roman" w:cs="Times New Roman"/>
          <w:color w:val="000000"/>
          <w:sz w:val="28"/>
          <w:szCs w:val="28"/>
        </w:rPr>
        <w:t>Evseev S., Evseeva O., Aksenov A., Salitova F., Fedorova T., Komarov M. The health-improving effect of a complex of daily physical activity on the cardiovascular system in people of the second mature age. </w:t>
      </w:r>
      <w:r>
        <w:rPr>
          <w:rFonts w:ascii="Times New Roman" w:eastAsia="Times New Roman" w:hAnsi="Times New Roman" w:cs="Times New Roman"/>
          <w:i/>
          <w:color w:val="000000"/>
          <w:sz w:val="28"/>
          <w:szCs w:val="28"/>
        </w:rPr>
        <w:t>International Journal of Pharmaceutical Research</w:t>
      </w:r>
      <w:r>
        <w:rPr>
          <w:rFonts w:ascii="Times New Roman" w:eastAsia="Times New Roman" w:hAnsi="Times New Roman" w:cs="Times New Roman"/>
          <w:color w:val="000000"/>
          <w:sz w:val="28"/>
          <w:szCs w:val="28"/>
        </w:rPr>
        <w:t>. 2</w:t>
      </w:r>
      <w:r>
        <w:rPr>
          <w:rFonts w:ascii="Times New Roman" w:eastAsia="Times New Roman" w:hAnsi="Times New Roman" w:cs="Times New Roman"/>
          <w:color w:val="000000"/>
          <w:sz w:val="28"/>
          <w:szCs w:val="28"/>
        </w:rPr>
        <w:t xml:space="preserve">021. Vol. 13(1). URL: </w:t>
      </w:r>
      <w:hyperlink r:id="rId33">
        <w:r>
          <w:rPr>
            <w:rFonts w:ascii="Times New Roman" w:eastAsia="Times New Roman" w:hAnsi="Times New Roman" w:cs="Times New Roman"/>
            <w:color w:val="0563C1"/>
            <w:sz w:val="28"/>
            <w:szCs w:val="28"/>
            <w:u w:val="single"/>
          </w:rPr>
          <w:t>https://openurl.ebsco.com/EPDB%3Agcd%3A15%3A30421599/detai</w:t>
        </w:r>
        <w:r>
          <w:rPr>
            <w:rFonts w:ascii="Times New Roman" w:eastAsia="Times New Roman" w:hAnsi="Times New Roman" w:cs="Times New Roman"/>
            <w:color w:val="0563C1"/>
            <w:sz w:val="28"/>
            <w:szCs w:val="28"/>
            <w:u w:val="single"/>
          </w:rPr>
          <w:t>lv2?sid=ebsc</w:t>
        </w:r>
        <w:r>
          <w:rPr>
            <w:rFonts w:ascii="Times New Roman" w:eastAsia="Times New Roman" w:hAnsi="Times New Roman" w:cs="Times New Roman"/>
            <w:color w:val="0563C1"/>
            <w:sz w:val="28"/>
            <w:szCs w:val="28"/>
            <w:u w:val="single"/>
          </w:rPr>
          <w:lastRenderedPageBreak/>
          <w:t>o%3Aplink%3Ascholar&amp;id=ebsco%3Agcd%3A155803316&amp;crl=c&amp;link_origin=scholar.google.com.ua</w:t>
        </w:r>
      </w:hyperlink>
      <w:r>
        <w:rPr>
          <w:rFonts w:ascii="Times New Roman" w:eastAsia="Times New Roman" w:hAnsi="Times New Roman" w:cs="Times New Roman"/>
          <w:color w:val="000000"/>
          <w:sz w:val="28"/>
          <w:szCs w:val="28"/>
        </w:rPr>
        <w:t xml:space="preserve">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53" w:name="_heading=h.111kx3o" w:colFirst="0" w:colLast="0"/>
      <w:bookmarkEnd w:id="53"/>
      <w:r>
        <w:rPr>
          <w:rFonts w:ascii="Times New Roman" w:eastAsia="Times New Roman" w:hAnsi="Times New Roman" w:cs="Times New Roman"/>
          <w:color w:val="000000"/>
          <w:sz w:val="28"/>
          <w:szCs w:val="28"/>
          <w:highlight w:val="white"/>
        </w:rPr>
        <w:t xml:space="preserve">Kashuba V., Andrieieva O., Goncharova N. Physical activity for prevention and correction of postural abnormalities in young women. </w:t>
      </w:r>
      <w:r>
        <w:rPr>
          <w:rFonts w:ascii="Times New Roman" w:eastAsia="Times New Roman" w:hAnsi="Times New Roman" w:cs="Times New Roman"/>
          <w:i/>
          <w:color w:val="000000"/>
          <w:sz w:val="28"/>
          <w:szCs w:val="28"/>
          <w:highlight w:val="white"/>
        </w:rPr>
        <w:t>Journal of Physical Educa</w:t>
      </w:r>
      <w:r>
        <w:rPr>
          <w:rFonts w:ascii="Times New Roman" w:eastAsia="Times New Roman" w:hAnsi="Times New Roman" w:cs="Times New Roman"/>
          <w:i/>
          <w:color w:val="000000"/>
          <w:sz w:val="28"/>
          <w:szCs w:val="28"/>
          <w:highlight w:val="white"/>
        </w:rPr>
        <w:t>tion and Sport</w:t>
      </w:r>
      <w:r>
        <w:rPr>
          <w:rFonts w:ascii="Times New Roman" w:eastAsia="Times New Roman" w:hAnsi="Times New Roman" w:cs="Times New Roman"/>
          <w:color w:val="000000"/>
          <w:sz w:val="28"/>
          <w:szCs w:val="28"/>
          <w:highlight w:val="white"/>
        </w:rPr>
        <w:t>. 2019. № 19 (2). Р. 500–506.</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4" w:name="_heading=h.3l18frh" w:colFirst="0" w:colLast="0"/>
      <w:bookmarkEnd w:id="54"/>
      <w:r>
        <w:rPr>
          <w:rFonts w:ascii="Times New Roman" w:eastAsia="Times New Roman" w:hAnsi="Times New Roman" w:cs="Times New Roman"/>
          <w:color w:val="000000"/>
          <w:sz w:val="28"/>
          <w:szCs w:val="28"/>
        </w:rPr>
        <w:t>Lins L., Carvalho F. M. SF-36 total score as a single measure of health-related quality of life: Scoping review. </w:t>
      </w:r>
      <w:r>
        <w:rPr>
          <w:rFonts w:ascii="Times New Roman" w:eastAsia="Times New Roman" w:hAnsi="Times New Roman" w:cs="Times New Roman"/>
          <w:i/>
          <w:color w:val="000000"/>
          <w:sz w:val="28"/>
          <w:szCs w:val="28"/>
        </w:rPr>
        <w:t>SAGE open medicine</w:t>
      </w:r>
      <w:r>
        <w:rPr>
          <w:rFonts w:ascii="Times New Roman" w:eastAsia="Times New Roman" w:hAnsi="Times New Roman" w:cs="Times New Roman"/>
          <w:color w:val="000000"/>
          <w:sz w:val="28"/>
          <w:szCs w:val="28"/>
        </w:rPr>
        <w:t>. 2016. № 4. Р. 2050312116671725.</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5" w:name="_heading=h.206ipza" w:colFirst="0" w:colLast="0"/>
      <w:bookmarkEnd w:id="55"/>
      <w:r>
        <w:rPr>
          <w:rFonts w:ascii="Times New Roman" w:eastAsia="Times New Roman" w:hAnsi="Times New Roman" w:cs="Times New Roman"/>
          <w:color w:val="000000"/>
          <w:sz w:val="28"/>
          <w:szCs w:val="28"/>
        </w:rPr>
        <w:t xml:space="preserve">Lippi G., Henry B. M., Sanchis-Gomar F. Physical inactivity and cardiovascular disease at the time of coronavirus disease 2019 (COVID-19). </w:t>
      </w:r>
      <w:r>
        <w:rPr>
          <w:rFonts w:ascii="Times New Roman" w:eastAsia="Times New Roman" w:hAnsi="Times New Roman" w:cs="Times New Roman"/>
          <w:i/>
          <w:color w:val="000000"/>
          <w:sz w:val="28"/>
          <w:szCs w:val="28"/>
        </w:rPr>
        <w:t>European journal of preventive cardiology</w:t>
      </w:r>
      <w:r>
        <w:rPr>
          <w:rFonts w:ascii="Times New Roman" w:eastAsia="Times New Roman" w:hAnsi="Times New Roman" w:cs="Times New Roman"/>
          <w:color w:val="000000"/>
          <w:sz w:val="28"/>
          <w:szCs w:val="28"/>
        </w:rPr>
        <w:t xml:space="preserve">. 2020. Vol. 27 (9). P. 906–908.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6" w:name="_heading=h.4k668n3" w:colFirst="0" w:colLast="0"/>
      <w:bookmarkEnd w:id="56"/>
      <w:r>
        <w:rPr>
          <w:rFonts w:ascii="Times New Roman" w:eastAsia="Times New Roman" w:hAnsi="Times New Roman" w:cs="Times New Roman"/>
          <w:color w:val="000000"/>
          <w:sz w:val="28"/>
          <w:szCs w:val="28"/>
        </w:rPr>
        <w:t>Nikolaevich M. I., Vitalievich G. A., Valentinovich M. A., Dmitrievna M. O., Vladimirovna G. E., Shamilevna P. E., Dzhamaldinovna T. N. Influence of the Experience of Health-Improving Jogging on the Level of Functional Activity of Platelets in Men of the S</w:t>
      </w:r>
      <w:r>
        <w:rPr>
          <w:rFonts w:ascii="Times New Roman" w:eastAsia="Times New Roman" w:hAnsi="Times New Roman" w:cs="Times New Roman"/>
          <w:color w:val="000000"/>
          <w:sz w:val="28"/>
          <w:szCs w:val="28"/>
        </w:rPr>
        <w:t>econd Mature Age. </w:t>
      </w:r>
      <w:r>
        <w:rPr>
          <w:rFonts w:ascii="Times New Roman" w:eastAsia="Times New Roman" w:hAnsi="Times New Roman" w:cs="Times New Roman"/>
          <w:i/>
          <w:color w:val="000000"/>
          <w:sz w:val="28"/>
          <w:szCs w:val="28"/>
        </w:rPr>
        <w:t>Systematic Reviews in Pharmacy</w:t>
      </w:r>
      <w:r>
        <w:rPr>
          <w:rFonts w:ascii="Times New Roman" w:eastAsia="Times New Roman" w:hAnsi="Times New Roman" w:cs="Times New Roman"/>
          <w:color w:val="000000"/>
          <w:sz w:val="28"/>
          <w:szCs w:val="28"/>
        </w:rPr>
        <w:t xml:space="preserve">. 2020. Vol. 11(8). URL: </w:t>
      </w:r>
      <w:hyperlink r:id="rId34">
        <w:r>
          <w:rPr>
            <w:rFonts w:ascii="Times New Roman" w:eastAsia="Times New Roman" w:hAnsi="Times New Roman" w:cs="Times New Roman"/>
            <w:color w:val="0563C1"/>
            <w:sz w:val="28"/>
            <w:szCs w:val="28"/>
            <w:u w:val="single"/>
          </w:rPr>
          <w:t>https:/</w:t>
        </w:r>
        <w:r>
          <w:rPr>
            <w:rFonts w:ascii="Times New Roman" w:eastAsia="Times New Roman" w:hAnsi="Times New Roman" w:cs="Times New Roman"/>
            <w:color w:val="0563C1"/>
            <w:sz w:val="28"/>
            <w:szCs w:val="28"/>
            <w:u w:val="single"/>
          </w:rPr>
          <w:t>/openurl.ebsco.com/EPDB%3Agcd%3A10%3A16747850/detailv2?sid=ebsco%3Aplink%3Ascholar&amp;id=ebsco%3Agcd%3A156303744&amp;crl=c&amp;link_origin=scholar.google.com.ua</w:t>
        </w:r>
      </w:hyperlink>
      <w:r>
        <w:rPr>
          <w:rFonts w:ascii="Times New Roman" w:eastAsia="Times New Roman" w:hAnsi="Times New Roman" w:cs="Times New Roman"/>
          <w:color w:val="000000"/>
          <w:sz w:val="28"/>
          <w:szCs w:val="28"/>
        </w:rPr>
        <w:t xml:space="preserve">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7" w:name="_heading=h.2zbgiuw" w:colFirst="0" w:colLast="0"/>
      <w:bookmarkEnd w:id="57"/>
      <w:r>
        <w:rPr>
          <w:rFonts w:ascii="Times New Roman" w:eastAsia="Times New Roman" w:hAnsi="Times New Roman" w:cs="Times New Roman"/>
          <w:color w:val="000000"/>
          <w:sz w:val="28"/>
          <w:szCs w:val="28"/>
        </w:rPr>
        <w:t>Podrihalo O., et al. Influence of Health Related Fitness on Morphofunctional Condition of Second Mature A</w:t>
      </w:r>
      <w:r>
        <w:rPr>
          <w:rFonts w:ascii="Times New Roman" w:eastAsia="Times New Roman" w:hAnsi="Times New Roman" w:cs="Times New Roman"/>
          <w:color w:val="000000"/>
          <w:sz w:val="28"/>
          <w:szCs w:val="28"/>
        </w:rPr>
        <w:t>ged Women. </w:t>
      </w:r>
      <w:r>
        <w:rPr>
          <w:rFonts w:ascii="Times New Roman" w:eastAsia="Times New Roman" w:hAnsi="Times New Roman" w:cs="Times New Roman"/>
          <w:i/>
          <w:color w:val="000000"/>
          <w:sz w:val="28"/>
          <w:szCs w:val="28"/>
        </w:rPr>
        <w:t>International Journal of Environmental Research and Public Health</w:t>
      </w:r>
      <w:r>
        <w:rPr>
          <w:rFonts w:ascii="Times New Roman" w:eastAsia="Times New Roman" w:hAnsi="Times New Roman" w:cs="Times New Roman"/>
          <w:color w:val="000000"/>
          <w:sz w:val="28"/>
          <w:szCs w:val="28"/>
        </w:rPr>
        <w:t>. 2020. Vol. 17.22. Р. 8465.</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58" w:name="_heading=h.1egqt2p" w:colFirst="0" w:colLast="0"/>
      <w:bookmarkEnd w:id="58"/>
      <w:r>
        <w:rPr>
          <w:rFonts w:ascii="Times New Roman" w:eastAsia="Times New Roman" w:hAnsi="Times New Roman" w:cs="Times New Roman"/>
          <w:color w:val="000000"/>
          <w:sz w:val="28"/>
          <w:szCs w:val="28"/>
        </w:rPr>
        <w:t xml:space="preserve">Rodziewicz-Flis E. A., et al. The positive impact of 12 weeks of dance and balance training on the circulating amyloid precursor protein and serotonin </w:t>
      </w:r>
      <w:r>
        <w:rPr>
          <w:rFonts w:ascii="Times New Roman" w:eastAsia="Times New Roman" w:hAnsi="Times New Roman" w:cs="Times New Roman"/>
          <w:color w:val="000000"/>
          <w:sz w:val="28"/>
          <w:szCs w:val="28"/>
        </w:rPr>
        <w:t xml:space="preserve">concentration as well as physical and cognitive abilities in elderly women. </w:t>
      </w:r>
      <w:r>
        <w:rPr>
          <w:rFonts w:ascii="Times New Roman" w:eastAsia="Times New Roman" w:hAnsi="Times New Roman" w:cs="Times New Roman"/>
          <w:i/>
          <w:color w:val="000000"/>
          <w:sz w:val="28"/>
          <w:szCs w:val="28"/>
        </w:rPr>
        <w:t>Experimental Gerontology.</w:t>
      </w:r>
      <w:r>
        <w:rPr>
          <w:rFonts w:ascii="Times New Roman" w:eastAsia="Times New Roman" w:hAnsi="Times New Roman" w:cs="Times New Roman"/>
          <w:color w:val="000000"/>
          <w:sz w:val="28"/>
          <w:szCs w:val="28"/>
        </w:rPr>
        <w:t> 2022. Vol. 162. P. 111746.</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bookmarkStart w:id="59" w:name="_heading=h.3ygebqi" w:colFirst="0" w:colLast="0"/>
      <w:bookmarkEnd w:id="59"/>
      <w:r>
        <w:rPr>
          <w:rFonts w:ascii="Times New Roman" w:eastAsia="Times New Roman" w:hAnsi="Times New Roman" w:cs="Times New Roman"/>
          <w:color w:val="000000"/>
          <w:sz w:val="28"/>
          <w:szCs w:val="28"/>
          <w:highlight w:val="white"/>
        </w:rPr>
        <w:t>Thompson P. D., Arena R., Riebe D., Pescatello L. S. American College of Sports Medicine. ACSM’s new preparticipation health sc</w:t>
      </w:r>
      <w:r>
        <w:rPr>
          <w:rFonts w:ascii="Times New Roman" w:eastAsia="Times New Roman" w:hAnsi="Times New Roman" w:cs="Times New Roman"/>
          <w:color w:val="000000"/>
          <w:sz w:val="28"/>
          <w:szCs w:val="28"/>
          <w:highlight w:val="white"/>
        </w:rPr>
        <w:t xml:space="preserve">reening recommendations from ACSM’s guidelines for exercise testing and prescription, ninth edition. </w:t>
      </w:r>
      <w:r>
        <w:rPr>
          <w:rFonts w:ascii="Times New Roman" w:eastAsia="Times New Roman" w:hAnsi="Times New Roman" w:cs="Times New Roman"/>
          <w:i/>
          <w:color w:val="000000"/>
          <w:sz w:val="28"/>
          <w:szCs w:val="28"/>
          <w:highlight w:val="white"/>
        </w:rPr>
        <w:t>Curr Sports Med Rep</w:t>
      </w:r>
      <w:r>
        <w:rPr>
          <w:rFonts w:ascii="Times New Roman" w:eastAsia="Times New Roman" w:hAnsi="Times New Roman" w:cs="Times New Roman"/>
          <w:color w:val="000000"/>
          <w:sz w:val="28"/>
          <w:szCs w:val="28"/>
          <w:highlight w:val="white"/>
        </w:rPr>
        <w:t xml:space="preserve">. 2013. 12 (4). Р. 215-217.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60" w:name="_heading=h.2dlolyb" w:colFirst="0" w:colLast="0"/>
      <w:bookmarkEnd w:id="60"/>
      <w:r>
        <w:rPr>
          <w:rFonts w:ascii="Times New Roman" w:eastAsia="Times New Roman" w:hAnsi="Times New Roman" w:cs="Times New Roman"/>
          <w:color w:val="000000"/>
          <w:sz w:val="28"/>
          <w:szCs w:val="28"/>
        </w:rPr>
        <w:lastRenderedPageBreak/>
        <w:t xml:space="preserve">Wanner C., Williams B. Guidelines on cardiovascular disease prevention in clinical practice. </w:t>
      </w:r>
      <w:r>
        <w:rPr>
          <w:rFonts w:ascii="Times New Roman" w:eastAsia="Times New Roman" w:hAnsi="Times New Roman" w:cs="Times New Roman"/>
          <w:i/>
          <w:color w:val="000000"/>
          <w:sz w:val="28"/>
          <w:szCs w:val="28"/>
        </w:rPr>
        <w:t>European Heart Journal</w:t>
      </w:r>
      <w:r>
        <w:rPr>
          <w:rFonts w:ascii="Times New Roman" w:eastAsia="Times New Roman" w:hAnsi="Times New Roman" w:cs="Times New Roman"/>
          <w:color w:val="000000"/>
          <w:sz w:val="28"/>
          <w:szCs w:val="28"/>
        </w:rPr>
        <w:t xml:space="preserve">. 2021. № 7, 42(34). P. 3227-3337. doi: 10.1093/eurheartj/ehab484. </w:t>
      </w:r>
    </w:p>
    <w:p w:rsidR="000B2DA2" w:rsidRDefault="00253DD5">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61" w:name="_heading=h.sqyw64" w:colFirst="0" w:colLast="0"/>
      <w:bookmarkEnd w:id="61"/>
      <w:r>
        <w:rPr>
          <w:rFonts w:ascii="Times New Roman" w:eastAsia="Times New Roman" w:hAnsi="Times New Roman" w:cs="Times New Roman"/>
          <w:color w:val="000000"/>
          <w:sz w:val="28"/>
          <w:szCs w:val="28"/>
        </w:rPr>
        <w:t xml:space="preserve">Yurevich K. V., Yuryevna Z. S., Viktorovich D. A., Nikolaevna V. N., Mikhailovich S. A., Ivanovich S. V., Valerievich K. Y. R. Influence of Regular Feasible Physical </w:t>
      </w:r>
      <w:r>
        <w:rPr>
          <w:rFonts w:ascii="Times New Roman" w:eastAsia="Times New Roman" w:hAnsi="Times New Roman" w:cs="Times New Roman"/>
          <w:color w:val="000000"/>
          <w:sz w:val="28"/>
          <w:szCs w:val="28"/>
        </w:rPr>
        <w:t>Activity on the Platelet's Functional Activity of the Second Mature Age People. </w:t>
      </w:r>
      <w:r>
        <w:rPr>
          <w:rFonts w:ascii="Times New Roman" w:eastAsia="Times New Roman" w:hAnsi="Times New Roman" w:cs="Times New Roman"/>
          <w:i/>
          <w:color w:val="000000"/>
          <w:sz w:val="28"/>
          <w:szCs w:val="28"/>
        </w:rPr>
        <w:t>Systematic Reviews in Pharmacy</w:t>
      </w:r>
      <w:r>
        <w:rPr>
          <w:rFonts w:ascii="Times New Roman" w:eastAsia="Times New Roman" w:hAnsi="Times New Roman" w:cs="Times New Roman"/>
          <w:color w:val="000000"/>
          <w:sz w:val="28"/>
          <w:szCs w:val="28"/>
        </w:rPr>
        <w:t xml:space="preserve">. 2020. Vol. 11(8). URL: </w:t>
      </w:r>
      <w:hyperlink r:id="rId35">
        <w:r>
          <w:rPr>
            <w:rFonts w:ascii="Times New Roman" w:eastAsia="Times New Roman" w:hAnsi="Times New Roman" w:cs="Times New Roman"/>
            <w:color w:val="0563C1"/>
            <w:sz w:val="28"/>
            <w:szCs w:val="28"/>
            <w:u w:val="single"/>
          </w:rPr>
          <w:t>https://openurl.ebsco.com/EPDB%3Agcd%3A16%3A16747856/detailv2?sid=ebsco%3Aplink%3Ascholar&amp;id=ebsco%3Agcd%3A156303745&amp;crl=c&amp;link_origin=scholar.google.com.ua</w:t>
        </w:r>
      </w:hyperlink>
    </w:p>
    <w:sectPr w:rsidR="000B2DA2">
      <w:headerReference w:type="default" r:id="rId36"/>
      <w:pgSz w:w="11906" w:h="16838"/>
      <w:pgMar w:top="1134" w:right="851"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3DD5" w:rsidRDefault="00253DD5">
      <w:pPr>
        <w:spacing w:after="0" w:line="240" w:lineRule="auto"/>
      </w:pPr>
      <w:r>
        <w:separator/>
      </w:r>
    </w:p>
  </w:endnote>
  <w:endnote w:type="continuationSeparator" w:id="0">
    <w:p w:rsidR="00253DD5" w:rsidRDefault="00253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Gungsuh">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3DD5" w:rsidRDefault="00253DD5">
      <w:pPr>
        <w:spacing w:after="0" w:line="240" w:lineRule="auto"/>
      </w:pPr>
      <w:r>
        <w:separator/>
      </w:r>
    </w:p>
  </w:footnote>
  <w:footnote w:type="continuationSeparator" w:id="0">
    <w:p w:rsidR="00253DD5" w:rsidRDefault="00253D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DA2" w:rsidRDefault="00253DD5">
    <w:pPr>
      <w:pBdr>
        <w:top w:val="nil"/>
        <w:left w:val="nil"/>
        <w:bottom w:val="nil"/>
        <w:right w:val="nil"/>
        <w:between w:val="nil"/>
      </w:pBdr>
      <w:tabs>
        <w:tab w:val="center" w:pos="4819"/>
        <w:tab w:val="right" w:pos="9639"/>
      </w:tabs>
      <w:spacing w:after="0"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sidR="0072666A">
      <w:rPr>
        <w:rFonts w:ascii="Times New Roman" w:eastAsia="Times New Roman" w:hAnsi="Times New Roman" w:cs="Times New Roman"/>
        <w:color w:val="000000"/>
        <w:sz w:val="28"/>
        <w:szCs w:val="28"/>
      </w:rPr>
      <w:fldChar w:fldCharType="separate"/>
    </w:r>
    <w:r w:rsidR="0072666A">
      <w:rPr>
        <w:rFonts w:ascii="Times New Roman" w:eastAsia="Times New Roman" w:hAnsi="Times New Roman" w:cs="Times New Roman"/>
        <w:noProof/>
        <w:color w:val="000000"/>
        <w:sz w:val="28"/>
        <w:szCs w:val="28"/>
      </w:rPr>
      <w:t>21</w:t>
    </w:r>
    <w:r>
      <w:rPr>
        <w:rFonts w:ascii="Times New Roman" w:eastAsia="Times New Roman" w:hAnsi="Times New Roman" w:cs="Times New Roman"/>
        <w:color w:val="000000"/>
        <w:sz w:val="28"/>
        <w:szCs w:val="28"/>
      </w:rPr>
      <w:fldChar w:fldCharType="end"/>
    </w:r>
  </w:p>
  <w:p w:rsidR="000B2DA2" w:rsidRDefault="000B2DA2">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E11B42"/>
    <w:multiLevelType w:val="multilevel"/>
    <w:tmpl w:val="C628A84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EE00AE2"/>
    <w:multiLevelType w:val="multilevel"/>
    <w:tmpl w:val="74463068"/>
    <w:lvl w:ilvl="0">
      <w:start w:val="1"/>
      <w:numFmt w:val="bullet"/>
      <w:lvlText w:val="o"/>
      <w:lvlJc w:val="left"/>
      <w:pPr>
        <w:ind w:left="1429" w:hanging="360"/>
      </w:pPr>
      <w:rPr>
        <w:rFonts w:ascii="Courier New" w:eastAsia="Courier New" w:hAnsi="Courier New" w:cs="Courier New"/>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62FD3DDD"/>
    <w:multiLevelType w:val="multilevel"/>
    <w:tmpl w:val="225202B8"/>
    <w:lvl w:ilvl="0">
      <w:start w:val="1"/>
      <w:numFmt w:val="bullet"/>
      <w:lvlText w:val="•"/>
      <w:lvlJc w:val="left"/>
      <w:pPr>
        <w:ind w:left="0" w:firstLine="0"/>
      </w:pPr>
      <w:rPr>
        <w:b w:val="0"/>
        <w:i w:val="0"/>
        <w:smallCaps w:val="0"/>
        <w:strike w:val="0"/>
        <w:color w:val="000000"/>
        <w:sz w:val="24"/>
        <w:szCs w:val="24"/>
        <w:u w:val="none"/>
        <w:vertAlign w:val="baseline"/>
      </w:rPr>
    </w:lvl>
    <w:lvl w:ilvl="1">
      <w:start w:val="1"/>
      <w:numFmt w:val="bullet"/>
      <w:lvlText w:val="•"/>
      <w:lvlJc w:val="left"/>
      <w:pPr>
        <w:ind w:left="0" w:firstLine="0"/>
      </w:pPr>
      <w:rPr>
        <w:b w:val="0"/>
        <w:i w:val="0"/>
        <w:smallCaps w:val="0"/>
        <w:strike w:val="0"/>
        <w:color w:val="000000"/>
        <w:sz w:val="24"/>
        <w:szCs w:val="24"/>
        <w:u w:val="none"/>
        <w:vertAlign w:val="baseline"/>
      </w:rPr>
    </w:lvl>
    <w:lvl w:ilvl="2">
      <w:start w:val="1"/>
      <w:numFmt w:val="bullet"/>
      <w:lvlText w:val="•"/>
      <w:lvlJc w:val="left"/>
      <w:pPr>
        <w:ind w:left="0" w:firstLine="0"/>
      </w:pPr>
      <w:rPr>
        <w:b w:val="0"/>
        <w:i w:val="0"/>
        <w:smallCaps w:val="0"/>
        <w:strike w:val="0"/>
        <w:color w:val="000000"/>
        <w:sz w:val="24"/>
        <w:szCs w:val="24"/>
        <w:u w:val="none"/>
        <w:vertAlign w:val="baseline"/>
      </w:rPr>
    </w:lvl>
    <w:lvl w:ilvl="3">
      <w:start w:val="1"/>
      <w:numFmt w:val="bullet"/>
      <w:lvlText w:val="•"/>
      <w:lvlJc w:val="left"/>
      <w:pPr>
        <w:ind w:left="0" w:firstLine="0"/>
      </w:pPr>
      <w:rPr>
        <w:b w:val="0"/>
        <w:i w:val="0"/>
        <w:smallCaps w:val="0"/>
        <w:strike w:val="0"/>
        <w:color w:val="000000"/>
        <w:sz w:val="24"/>
        <w:szCs w:val="24"/>
        <w:u w:val="none"/>
        <w:vertAlign w:val="baseline"/>
      </w:rPr>
    </w:lvl>
    <w:lvl w:ilvl="4">
      <w:start w:val="1"/>
      <w:numFmt w:val="bullet"/>
      <w:lvlText w:val="•"/>
      <w:lvlJc w:val="left"/>
      <w:pPr>
        <w:ind w:left="0" w:firstLine="0"/>
      </w:pPr>
      <w:rPr>
        <w:b w:val="0"/>
        <w:i w:val="0"/>
        <w:smallCaps w:val="0"/>
        <w:strike w:val="0"/>
        <w:color w:val="000000"/>
        <w:sz w:val="24"/>
        <w:szCs w:val="24"/>
        <w:u w:val="none"/>
        <w:vertAlign w:val="baseline"/>
      </w:rPr>
    </w:lvl>
    <w:lvl w:ilvl="5">
      <w:start w:val="1"/>
      <w:numFmt w:val="bullet"/>
      <w:lvlText w:val="•"/>
      <w:lvlJc w:val="left"/>
      <w:pPr>
        <w:ind w:left="0" w:firstLine="0"/>
      </w:pPr>
      <w:rPr>
        <w:b w:val="0"/>
        <w:i w:val="0"/>
        <w:smallCaps w:val="0"/>
        <w:strike w:val="0"/>
        <w:color w:val="000000"/>
        <w:sz w:val="24"/>
        <w:szCs w:val="24"/>
        <w:u w:val="none"/>
        <w:vertAlign w:val="baseline"/>
      </w:rPr>
    </w:lvl>
    <w:lvl w:ilvl="6">
      <w:start w:val="1"/>
      <w:numFmt w:val="bullet"/>
      <w:lvlText w:val="•"/>
      <w:lvlJc w:val="left"/>
      <w:pPr>
        <w:ind w:left="0" w:firstLine="0"/>
      </w:pPr>
      <w:rPr>
        <w:b w:val="0"/>
        <w:i w:val="0"/>
        <w:smallCaps w:val="0"/>
        <w:strike w:val="0"/>
        <w:color w:val="000000"/>
        <w:sz w:val="24"/>
        <w:szCs w:val="24"/>
        <w:u w:val="none"/>
        <w:vertAlign w:val="baseline"/>
      </w:rPr>
    </w:lvl>
    <w:lvl w:ilvl="7">
      <w:start w:val="1"/>
      <w:numFmt w:val="bullet"/>
      <w:lvlText w:val="•"/>
      <w:lvlJc w:val="left"/>
      <w:pPr>
        <w:ind w:left="0" w:firstLine="0"/>
      </w:pPr>
      <w:rPr>
        <w:b w:val="0"/>
        <w:i w:val="0"/>
        <w:smallCaps w:val="0"/>
        <w:strike w:val="0"/>
        <w:color w:val="000000"/>
        <w:sz w:val="24"/>
        <w:szCs w:val="24"/>
        <w:u w:val="none"/>
        <w:vertAlign w:val="baseline"/>
      </w:rPr>
    </w:lvl>
    <w:lvl w:ilvl="8">
      <w:start w:val="1"/>
      <w:numFmt w:val="bullet"/>
      <w:lvlText w:val="•"/>
      <w:lvlJc w:val="left"/>
      <w:pPr>
        <w:ind w:left="0" w:firstLine="0"/>
      </w:pPr>
      <w:rPr>
        <w:b w:val="0"/>
        <w:i w:val="0"/>
        <w:smallCaps w:val="0"/>
        <w:strike w:val="0"/>
        <w:color w:val="000000"/>
        <w:sz w:val="24"/>
        <w:szCs w:val="24"/>
        <w:u w:val="none"/>
        <w:vertAlign w:val="baseline"/>
      </w:rPr>
    </w:lvl>
  </w:abstractNum>
  <w:abstractNum w:abstractNumId="3" w15:restartNumberingAfterBreak="0">
    <w:nsid w:val="64554FCA"/>
    <w:multiLevelType w:val="multilevel"/>
    <w:tmpl w:val="94AAADD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7ABF4CA8"/>
    <w:multiLevelType w:val="multilevel"/>
    <w:tmpl w:val="039A93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DA2"/>
    <w:rsid w:val="000B2DA2"/>
    <w:rsid w:val="00253DD5"/>
    <w:rsid w:val="007266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07F07"/>
  <w15:docId w15:val="{4AFB226A-1DC2-4376-A6FA-2F8B3F198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styleId="a4">
    <w:name w:val="Table Grid"/>
    <w:basedOn w:val="a1"/>
    <w:uiPriority w:val="39"/>
    <w:rsid w:val="007D64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link w:val="a6"/>
    <w:uiPriority w:val="34"/>
    <w:qFormat/>
    <w:rsid w:val="00D46EDF"/>
    <w:pPr>
      <w:ind w:left="720"/>
      <w:contextualSpacing/>
    </w:pPr>
  </w:style>
  <w:style w:type="paragraph" w:styleId="a7">
    <w:name w:val="header"/>
    <w:basedOn w:val="a"/>
    <w:link w:val="a8"/>
    <w:uiPriority w:val="99"/>
    <w:unhideWhenUsed/>
    <w:rsid w:val="00DD54F0"/>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DD54F0"/>
  </w:style>
  <w:style w:type="paragraph" w:styleId="a9">
    <w:name w:val="footer"/>
    <w:basedOn w:val="a"/>
    <w:link w:val="aa"/>
    <w:uiPriority w:val="99"/>
    <w:unhideWhenUsed/>
    <w:rsid w:val="00DD54F0"/>
    <w:pPr>
      <w:tabs>
        <w:tab w:val="center" w:pos="4819"/>
        <w:tab w:val="right" w:pos="9639"/>
      </w:tabs>
      <w:spacing w:after="0" w:line="240" w:lineRule="auto"/>
    </w:pPr>
  </w:style>
  <w:style w:type="character" w:customStyle="1" w:styleId="aa">
    <w:name w:val="Нижній колонтитул Знак"/>
    <w:basedOn w:val="a0"/>
    <w:link w:val="a9"/>
    <w:uiPriority w:val="99"/>
    <w:rsid w:val="00DD54F0"/>
  </w:style>
  <w:style w:type="paragraph" w:styleId="ab">
    <w:name w:val="Body Text"/>
    <w:basedOn w:val="a"/>
    <w:link w:val="ac"/>
    <w:rsid w:val="00141DAC"/>
    <w:pPr>
      <w:spacing w:after="120" w:line="360" w:lineRule="auto"/>
      <w:jc w:val="both"/>
    </w:pPr>
    <w:rPr>
      <w:rFonts w:ascii="Times New Roman" w:eastAsia="Batang" w:hAnsi="Times New Roman" w:cs="Times New Roman"/>
      <w:sz w:val="24"/>
      <w:szCs w:val="24"/>
      <w:lang w:val="ru-RU" w:eastAsia="ko-KR"/>
    </w:rPr>
  </w:style>
  <w:style w:type="character" w:customStyle="1" w:styleId="ac">
    <w:name w:val="Основний текст Знак"/>
    <w:basedOn w:val="a0"/>
    <w:link w:val="ab"/>
    <w:rsid w:val="00141DAC"/>
    <w:rPr>
      <w:rFonts w:ascii="Times New Roman" w:eastAsia="Batang" w:hAnsi="Times New Roman" w:cs="Times New Roman"/>
      <w:sz w:val="24"/>
      <w:szCs w:val="24"/>
      <w:lang w:val="ru-RU" w:eastAsia="ko-KR"/>
    </w:rPr>
  </w:style>
  <w:style w:type="paragraph" w:customStyle="1" w:styleId="ad">
    <w:name w:val="абзац"/>
    <w:rsid w:val="00D66DF9"/>
    <w:pPr>
      <w:widowControl w:val="0"/>
      <w:spacing w:after="0" w:line="440" w:lineRule="exact"/>
      <w:ind w:left="6" w:firstLine="720"/>
      <w:jc w:val="both"/>
    </w:pPr>
    <w:rPr>
      <w:rFonts w:ascii="Times New Roman" w:eastAsia="Times New Roman" w:hAnsi="Times New Roman" w:cs="Times New Roman"/>
      <w:sz w:val="28"/>
      <w:szCs w:val="20"/>
      <w:lang w:val="ru-RU" w:eastAsia="ru-RU"/>
    </w:rPr>
  </w:style>
  <w:style w:type="character" w:customStyle="1" w:styleId="a6">
    <w:name w:val="Абзац списку Знак"/>
    <w:link w:val="a5"/>
    <w:uiPriority w:val="34"/>
    <w:rsid w:val="00D66DF9"/>
  </w:style>
  <w:style w:type="character" w:styleId="ae">
    <w:name w:val="annotation reference"/>
    <w:basedOn w:val="a0"/>
    <w:uiPriority w:val="99"/>
    <w:semiHidden/>
    <w:unhideWhenUsed/>
    <w:rsid w:val="007E7CBA"/>
    <w:rPr>
      <w:sz w:val="16"/>
      <w:szCs w:val="16"/>
    </w:rPr>
  </w:style>
  <w:style w:type="paragraph" w:styleId="af">
    <w:name w:val="annotation text"/>
    <w:basedOn w:val="a"/>
    <w:link w:val="af0"/>
    <w:uiPriority w:val="99"/>
    <w:semiHidden/>
    <w:unhideWhenUsed/>
    <w:rsid w:val="007E7CBA"/>
    <w:pPr>
      <w:spacing w:line="240" w:lineRule="auto"/>
    </w:pPr>
    <w:rPr>
      <w:sz w:val="20"/>
      <w:szCs w:val="20"/>
    </w:rPr>
  </w:style>
  <w:style w:type="character" w:customStyle="1" w:styleId="af0">
    <w:name w:val="Текст примітки Знак"/>
    <w:basedOn w:val="a0"/>
    <w:link w:val="af"/>
    <w:uiPriority w:val="99"/>
    <w:semiHidden/>
    <w:rsid w:val="007E7CBA"/>
    <w:rPr>
      <w:sz w:val="20"/>
      <w:szCs w:val="20"/>
    </w:rPr>
  </w:style>
  <w:style w:type="paragraph" w:styleId="af1">
    <w:name w:val="annotation subject"/>
    <w:basedOn w:val="af"/>
    <w:next w:val="af"/>
    <w:link w:val="af2"/>
    <w:uiPriority w:val="99"/>
    <w:semiHidden/>
    <w:unhideWhenUsed/>
    <w:rsid w:val="007E7CBA"/>
    <w:rPr>
      <w:b/>
      <w:bCs/>
    </w:rPr>
  </w:style>
  <w:style w:type="character" w:customStyle="1" w:styleId="af2">
    <w:name w:val="Тема примітки Знак"/>
    <w:basedOn w:val="af0"/>
    <w:link w:val="af1"/>
    <w:uiPriority w:val="99"/>
    <w:semiHidden/>
    <w:rsid w:val="007E7CBA"/>
    <w:rPr>
      <w:b/>
      <w:bCs/>
      <w:sz w:val="20"/>
      <w:szCs w:val="20"/>
    </w:rPr>
  </w:style>
  <w:style w:type="paragraph" w:styleId="af3">
    <w:name w:val="Balloon Text"/>
    <w:basedOn w:val="a"/>
    <w:link w:val="af4"/>
    <w:uiPriority w:val="99"/>
    <w:semiHidden/>
    <w:unhideWhenUsed/>
    <w:rsid w:val="007E7CBA"/>
    <w:pPr>
      <w:spacing w:after="0" w:line="240" w:lineRule="auto"/>
    </w:pPr>
    <w:rPr>
      <w:rFonts w:ascii="Segoe UI" w:hAnsi="Segoe UI" w:cs="Segoe UI"/>
      <w:sz w:val="18"/>
      <w:szCs w:val="18"/>
    </w:rPr>
  </w:style>
  <w:style w:type="character" w:customStyle="1" w:styleId="af4">
    <w:name w:val="Текст у виносці Знак"/>
    <w:basedOn w:val="a0"/>
    <w:link w:val="af3"/>
    <w:uiPriority w:val="99"/>
    <w:semiHidden/>
    <w:rsid w:val="007E7CBA"/>
    <w:rPr>
      <w:rFonts w:ascii="Segoe UI" w:hAnsi="Segoe UI" w:cs="Segoe UI"/>
      <w:sz w:val="18"/>
      <w:szCs w:val="18"/>
    </w:rPr>
  </w:style>
  <w:style w:type="character" w:styleId="af5">
    <w:name w:val="Hyperlink"/>
    <w:basedOn w:val="a0"/>
    <w:uiPriority w:val="99"/>
    <w:unhideWhenUsed/>
    <w:rsid w:val="00C60A42"/>
    <w:rPr>
      <w:color w:val="0563C1" w:themeColor="hyperlink"/>
      <w:u w:val="single"/>
    </w:rPr>
  </w:style>
  <w:style w:type="character" w:customStyle="1" w:styleId="UnresolvedMention">
    <w:name w:val="Unresolved Mention"/>
    <w:basedOn w:val="a0"/>
    <w:uiPriority w:val="99"/>
    <w:semiHidden/>
    <w:unhideWhenUsed/>
    <w:rsid w:val="00C60A42"/>
    <w:rPr>
      <w:color w:val="605E5C"/>
      <w:shd w:val="clear" w:color="auto" w:fill="E1DFDD"/>
    </w:rPr>
  </w:style>
  <w:style w:type="paragraph" w:styleId="af6">
    <w:name w:val="Subtitle"/>
    <w:basedOn w:val="a"/>
    <w:next w:val="a"/>
    <w:pPr>
      <w:keepNext/>
      <w:keepLines/>
      <w:spacing w:before="360" w:after="80"/>
    </w:pPr>
    <w:rPr>
      <w:rFonts w:ascii="Georgia" w:eastAsia="Georgia" w:hAnsi="Georgia" w:cs="Georgia"/>
      <w:i/>
      <w:color w:val="666666"/>
      <w:sz w:val="48"/>
      <w:szCs w:val="48"/>
    </w:rPr>
  </w:style>
  <w:style w:type="table" w:customStyle="1" w:styleId="a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tblPr>
      <w:tblStyleRowBandSize w:val="1"/>
      <w:tblStyleColBandSize w:val="1"/>
      <w:tblCellMar>
        <w:top w:w="0" w:type="dxa"/>
        <w:left w:w="0" w:type="dxa"/>
        <w:bottom w:w="0" w:type="dxa"/>
        <w:right w:w="0" w:type="dxa"/>
      </w:tblCellMar>
    </w:tblPr>
  </w:style>
  <w:style w:type="table" w:customStyle="1" w:styleId="afa">
    <w:basedOn w:val="TableNormal"/>
    <w:tblPr>
      <w:tblStyleRowBandSize w:val="1"/>
      <w:tblStyleColBandSize w:val="1"/>
      <w:tblCellMar>
        <w:top w:w="0" w:type="dxa"/>
        <w:left w:w="115" w:type="dxa"/>
        <w:bottom w:w="0" w:type="dxa"/>
        <w:right w:w="115" w:type="dxa"/>
      </w:tblCellMar>
    </w:tblPr>
  </w:style>
  <w:style w:type="table" w:customStyle="1" w:styleId="afb">
    <w:basedOn w:val="TableNormal"/>
    <w:tblPr>
      <w:tblStyleRowBandSize w:val="1"/>
      <w:tblStyleColBandSize w:val="1"/>
      <w:tblCellMar>
        <w:top w:w="0" w:type="dxa"/>
        <w:left w:w="115" w:type="dxa"/>
        <w:bottom w:w="0" w:type="dxa"/>
        <w:right w:w="115" w:type="dxa"/>
      </w:tblCellMar>
    </w:tblPr>
  </w:style>
  <w:style w:type="table" w:customStyle="1" w:styleId="af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11.png"/><Relationship Id="rId3" Type="http://schemas.openxmlformats.org/officeDocument/2006/relationships/styles" Target="styles.xml"/><Relationship Id="rId34" Type="http://schemas.openxmlformats.org/officeDocument/2006/relationships/hyperlink" Target="https://openurl.ebsco.com/EPDB%3Agcd%3A10%3A16747850/detailv2?sid=ebsco%3Aplink%3Ascholar&amp;id=ebsco%3Agcd%3A156303744&amp;crl=c&amp;link_origin=scholar.google.com.ua" TargetMode="External"/><Relationship Id="rId7" Type="http://schemas.openxmlformats.org/officeDocument/2006/relationships/endnotes" Target="endnotes.xml"/><Relationship Id="rId12" Type="http://schemas.openxmlformats.org/officeDocument/2006/relationships/oleObject" Target="embeddings/oleObject3.bin"/><Relationship Id="rId17" Type="http://schemas.openxmlformats.org/officeDocument/2006/relationships/chart" Target="charts/chart5.xml"/><Relationship Id="rId25" Type="http://schemas.openxmlformats.org/officeDocument/2006/relationships/image" Target="media/image7.png"/><Relationship Id="rId33" Type="http://schemas.openxmlformats.org/officeDocument/2006/relationships/hyperlink" Target="https://openurl.ebsco.com/EPDB%3Agcd%3A15%3A30421599/detailv2?sid=ebsco%3Aplink%3Ascholar&amp;id=ebsco%3Agcd%3A155803316&amp;crl=c&amp;link_origin=scholar.google.com.ua"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png"/><Relationship Id="rId32" Type="http://schemas.openxmlformats.org/officeDocument/2006/relationships/chart" Target="charts/chart10.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6.png"/><Relationship Id="rId28" Type="http://schemas.openxmlformats.org/officeDocument/2006/relationships/oleObject" Target="embeddings/oleObject4.bin"/><Relationship Id="rId36" Type="http://schemas.openxmlformats.org/officeDocument/2006/relationships/header" Target="header1.xml"/><Relationship Id="rId10" Type="http://schemas.openxmlformats.org/officeDocument/2006/relationships/oleObject" Target="embeddings/oleObject1.bin"/><Relationship Id="rId31"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hart" Target="charts/chart2.xml"/><Relationship Id="rId22" Type="http://schemas.openxmlformats.org/officeDocument/2006/relationships/image" Target="media/image8.png"/><Relationship Id="rId27" Type="http://schemas.openxmlformats.org/officeDocument/2006/relationships/image" Target="media/image10.png"/><Relationship Id="rId30" Type="http://schemas.openxmlformats.org/officeDocument/2006/relationships/chart" Target="charts/chart8.xml"/><Relationship Id="rId35" Type="http://schemas.openxmlformats.org/officeDocument/2006/relationships/hyperlink" Target="https://openurl.ebsco.com/EPDB%3Agcd%3A16%3A16747856/detailv2?sid=ebsco%3Aplink%3Ascholar&amp;id=ebsco%3Agcd%3A156303745&amp;crl=c&amp;link_origin=scholar.google.com.ua" TargetMode="Externa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_Microsoft_Excel9.xlsx"/><Relationship Id="rId2" Type="http://schemas.microsoft.com/office/2011/relationships/chartColorStyle" Target="colors8.xml"/><Relationship Id="rId1" Type="http://schemas.microsoft.com/office/2011/relationships/chartStyle" Target="style8.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_Microsoft_Excel7.xlsx"/><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_Microsoft_Excel8.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333333333333329E-2"/>
          <c:y val="0.11266091738532684"/>
          <c:w val="0.82407407407407407"/>
          <c:h val="0.69273340832395947"/>
        </c:manualLayout>
      </c:layout>
      <c:pie3DChart>
        <c:varyColors val="1"/>
        <c:ser>
          <c:idx val="0"/>
          <c:order val="0"/>
          <c:tx>
            <c:strRef>
              <c:f>Аркуш1!$B$1</c:f>
              <c:strCache>
                <c:ptCount val="1"/>
                <c:pt idx="0">
                  <c:v>Продаж</c:v>
                </c:pt>
              </c:strCache>
            </c:strRef>
          </c:tx>
          <c:spPr>
            <a:pattFill prst="pct80">
              <a:fgClr>
                <a:sysClr val="windowText" lastClr="000000"/>
              </a:fgClr>
              <a:bgClr>
                <a:schemeClr val="bg1"/>
              </a:bgClr>
            </a:pattFill>
          </c:spPr>
          <c:explosion val="15"/>
          <c:dPt>
            <c:idx val="0"/>
            <c:bubble3D val="0"/>
            <c:spPr>
              <a:pattFill prst="lgConfetti">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F715-4FE9-9500-23EC99FFAA25}"/>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F715-4FE9-9500-23EC99FFAA25}"/>
              </c:ext>
            </c:extLst>
          </c:dPt>
          <c:dPt>
            <c:idx val="2"/>
            <c:bubble3D val="0"/>
            <c:spPr>
              <a:pattFill prst="pct9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2-F715-4FE9-9500-23EC99FFAA25}"/>
              </c:ext>
            </c:extLst>
          </c:dPt>
          <c:dLbls>
            <c:dLbl>
              <c:idx val="0"/>
              <c:layout>
                <c:manualLayout>
                  <c:x val="4.5661727179935843E-2"/>
                  <c:y val="3.021528558930133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715-4FE9-9500-23EC99FFAA25}"/>
                </c:ext>
              </c:extLst>
            </c:dLbl>
            <c:dLbl>
              <c:idx val="1"/>
              <c:layout>
                <c:manualLayout>
                  <c:x val="-6.7850503062117234E-2"/>
                  <c:y val="0.18953318335208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715-4FE9-9500-23EC99FFAA25}"/>
                </c:ext>
              </c:extLst>
            </c:dLbl>
            <c:dLbl>
              <c:idx val="2"/>
              <c:layout>
                <c:manualLayout>
                  <c:x val="-1.2140930300379119E-2"/>
                  <c:y val="-3.151887264091988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F715-4FE9-9500-23EC99FFAA25}"/>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нижчий за середній</c:v>
                </c:pt>
                <c:pt idx="1">
                  <c:v>середній</c:v>
                </c:pt>
                <c:pt idx="2">
                  <c:v>вищий за середній</c:v>
                </c:pt>
              </c:strCache>
            </c:strRef>
          </c:cat>
          <c:val>
            <c:numRef>
              <c:f>Аркуш1!$B$2:$B$4</c:f>
              <c:numCache>
                <c:formatCode>General</c:formatCode>
                <c:ptCount val="3"/>
                <c:pt idx="0">
                  <c:v>62.5</c:v>
                </c:pt>
                <c:pt idx="1">
                  <c:v>25</c:v>
                </c:pt>
                <c:pt idx="2">
                  <c:v>12.5</c:v>
                </c:pt>
              </c:numCache>
            </c:numRef>
          </c:val>
          <c:extLst>
            <c:ext xmlns:c16="http://schemas.microsoft.com/office/drawing/2014/chart" uri="{C3380CC4-5D6E-409C-BE32-E72D297353CC}">
              <c16:uniqueId val="{00000000-F715-4FE9-9500-23EC99FFAA25}"/>
            </c:ext>
          </c:extLst>
        </c:ser>
        <c:dLbls>
          <c:showLegendKey val="0"/>
          <c:showVal val="0"/>
          <c:showCatName val="0"/>
          <c:showSerName val="0"/>
          <c:showPercent val="1"/>
          <c:showBubbleSize val="0"/>
          <c:showLeaderLines val="1"/>
        </c:dLbls>
      </c:pie3DChart>
      <c:spPr>
        <a:noFill/>
        <a:ln>
          <a:noFill/>
        </a:ln>
        <a:effectLst/>
      </c:spPr>
    </c:plotArea>
    <c:legend>
      <c:legendPos val="t"/>
      <c:layout>
        <c:manualLayout>
          <c:xMode val="edge"/>
          <c:yMode val="edge"/>
          <c:x val="5.729604111986001E-2"/>
          <c:y val="0.91396825396825399"/>
          <c:w val="0.89999990493763438"/>
          <c:h val="8.603184723147969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на початку експерименту</c:v>
                </c:pt>
              </c:strCache>
            </c:strRef>
          </c:tx>
          <c:spPr>
            <a:pattFill prst="pct90">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Аркуш1!$B$2:$B$5</c:f>
              <c:numCache>
                <c:formatCode>General</c:formatCode>
                <c:ptCount val="4"/>
                <c:pt idx="0">
                  <c:v>64.5</c:v>
                </c:pt>
                <c:pt idx="1">
                  <c:v>73.5</c:v>
                </c:pt>
                <c:pt idx="2">
                  <c:v>67.900000000000006</c:v>
                </c:pt>
                <c:pt idx="3">
                  <c:v>62.4</c:v>
                </c:pt>
              </c:numCache>
            </c:numRef>
          </c:val>
          <c:extLst>
            <c:ext xmlns:c16="http://schemas.microsoft.com/office/drawing/2014/chart" uri="{C3380CC4-5D6E-409C-BE32-E72D297353CC}">
              <c16:uniqueId val="{00000000-3762-4492-B145-A3171EC64A22}"/>
            </c:ext>
          </c:extLst>
        </c:ser>
        <c:ser>
          <c:idx val="1"/>
          <c:order val="1"/>
          <c:tx>
            <c:strRef>
              <c:f>Аркуш1!$C$1</c:f>
              <c:strCache>
                <c:ptCount val="1"/>
                <c:pt idx="0">
                  <c:v>в кінці експерименту</c:v>
                </c:pt>
              </c:strCache>
            </c:strRef>
          </c:tx>
          <c:spPr>
            <a:pattFill prst="openDmnd">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Аркуш1!$C$2:$C$5</c:f>
              <c:numCache>
                <c:formatCode>General</c:formatCode>
                <c:ptCount val="4"/>
                <c:pt idx="0">
                  <c:v>67.8</c:v>
                </c:pt>
                <c:pt idx="1">
                  <c:v>88.4</c:v>
                </c:pt>
                <c:pt idx="2">
                  <c:v>71.2</c:v>
                </c:pt>
                <c:pt idx="3">
                  <c:v>65.400000000000006</c:v>
                </c:pt>
              </c:numCache>
            </c:numRef>
          </c:val>
          <c:extLst>
            <c:ext xmlns:c16="http://schemas.microsoft.com/office/drawing/2014/chart" uri="{C3380CC4-5D6E-409C-BE32-E72D297353CC}">
              <c16:uniqueId val="{00000001-3762-4492-B145-A3171EC64A22}"/>
            </c:ext>
          </c:extLst>
        </c:ser>
        <c:dLbls>
          <c:showLegendKey val="0"/>
          <c:showVal val="0"/>
          <c:showCatName val="0"/>
          <c:showSerName val="0"/>
          <c:showPercent val="0"/>
          <c:showBubbleSize val="0"/>
        </c:dLbls>
        <c:gapWidth val="150"/>
        <c:shape val="box"/>
        <c:axId val="393695535"/>
        <c:axId val="314210079"/>
        <c:axId val="0"/>
      </c:bar3DChart>
      <c:catAx>
        <c:axId val="393695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14210079"/>
        <c:crosses val="autoZero"/>
        <c:auto val="1"/>
        <c:lblAlgn val="ctr"/>
        <c:lblOffset val="100"/>
        <c:noMultiLvlLbl val="0"/>
      </c:catAx>
      <c:valAx>
        <c:axId val="314210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0.21873591394022476"/>
              <c:y val="0.2541741459302291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3695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333333333333329E-2"/>
          <c:y val="0.11266091738532684"/>
          <c:w val="0.82407407407407407"/>
          <c:h val="0.69273340832395947"/>
        </c:manualLayout>
      </c:layout>
      <c:pie3DChart>
        <c:varyColors val="1"/>
        <c:ser>
          <c:idx val="0"/>
          <c:order val="0"/>
          <c:tx>
            <c:strRef>
              <c:f>Аркуш1!$B$1</c:f>
              <c:strCache>
                <c:ptCount val="1"/>
                <c:pt idx="0">
                  <c:v>Продаж</c:v>
                </c:pt>
              </c:strCache>
            </c:strRef>
          </c:tx>
          <c:spPr>
            <a:pattFill prst="pct80">
              <a:fgClr>
                <a:sysClr val="windowText" lastClr="000000"/>
              </a:fgClr>
              <a:bgClr>
                <a:schemeClr val="bg1"/>
              </a:bgClr>
            </a:pattFill>
          </c:spPr>
          <c:explosion val="15"/>
          <c:dPt>
            <c:idx val="0"/>
            <c:bubble3D val="0"/>
            <c:spPr>
              <a:pattFill prst="lgConfetti">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3033-49F8-997C-6A42BFC3C474}"/>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3033-49F8-997C-6A42BFC3C474}"/>
              </c:ext>
            </c:extLst>
          </c:dPt>
          <c:dPt>
            <c:idx val="2"/>
            <c:bubble3D val="0"/>
            <c:spPr>
              <a:pattFill prst="pct9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3033-49F8-997C-6A42BFC3C474}"/>
              </c:ext>
            </c:extLst>
          </c:dPt>
          <c:dLbls>
            <c:dLbl>
              <c:idx val="0"/>
              <c:layout>
                <c:manualLayout>
                  <c:x val="4.5661727179935843E-2"/>
                  <c:y val="3.021528558930133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033-49F8-997C-6A42BFC3C474}"/>
                </c:ext>
              </c:extLst>
            </c:dLbl>
            <c:dLbl>
              <c:idx val="1"/>
              <c:layout>
                <c:manualLayout>
                  <c:x val="-6.7850503062117234E-2"/>
                  <c:y val="0.18953318335208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033-49F8-997C-6A42BFC3C474}"/>
                </c:ext>
              </c:extLst>
            </c:dLbl>
            <c:dLbl>
              <c:idx val="2"/>
              <c:layout>
                <c:manualLayout>
                  <c:x val="-1.2140930300379119E-2"/>
                  <c:y val="-3.151887264091988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033-49F8-997C-6A42BFC3C47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нижчий за середній</c:v>
                </c:pt>
                <c:pt idx="1">
                  <c:v>середній</c:v>
                </c:pt>
                <c:pt idx="2">
                  <c:v>вищий за середній</c:v>
                </c:pt>
              </c:strCache>
            </c:strRef>
          </c:cat>
          <c:val>
            <c:numRef>
              <c:f>Аркуш1!$B$2:$B$4</c:f>
              <c:numCache>
                <c:formatCode>General</c:formatCode>
                <c:ptCount val="3"/>
                <c:pt idx="0">
                  <c:v>50</c:v>
                </c:pt>
                <c:pt idx="1">
                  <c:v>25</c:v>
                </c:pt>
                <c:pt idx="2">
                  <c:v>25</c:v>
                </c:pt>
              </c:numCache>
            </c:numRef>
          </c:val>
          <c:extLst>
            <c:ext xmlns:c16="http://schemas.microsoft.com/office/drawing/2014/chart" uri="{C3380CC4-5D6E-409C-BE32-E72D297353CC}">
              <c16:uniqueId val="{00000006-3033-49F8-997C-6A42BFC3C474}"/>
            </c:ext>
          </c:extLst>
        </c:ser>
        <c:dLbls>
          <c:showLegendKey val="0"/>
          <c:showVal val="0"/>
          <c:showCatName val="0"/>
          <c:showSerName val="0"/>
          <c:showPercent val="1"/>
          <c:showBubbleSize val="0"/>
          <c:showLeaderLines val="1"/>
        </c:dLbls>
      </c:pie3DChart>
      <c:spPr>
        <a:noFill/>
        <a:ln>
          <a:noFill/>
        </a:ln>
        <a:effectLst/>
      </c:spPr>
    </c:plotArea>
    <c:legend>
      <c:legendPos val="t"/>
      <c:layout>
        <c:manualLayout>
          <c:xMode val="edge"/>
          <c:yMode val="edge"/>
          <c:x val="5.729604111986001E-2"/>
          <c:y val="0.91396825396825399"/>
          <c:w val="0.89003754738990959"/>
          <c:h val="8.4721909761279843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333333333333329E-2"/>
          <c:y val="0.11266091738532684"/>
          <c:w val="0.82407407407407407"/>
          <c:h val="0.69273340832395947"/>
        </c:manualLayout>
      </c:layout>
      <c:pie3DChart>
        <c:varyColors val="1"/>
        <c:ser>
          <c:idx val="0"/>
          <c:order val="0"/>
          <c:tx>
            <c:strRef>
              <c:f>Аркуш1!$B$1</c:f>
              <c:strCache>
                <c:ptCount val="1"/>
                <c:pt idx="0">
                  <c:v>Продаж</c:v>
                </c:pt>
              </c:strCache>
            </c:strRef>
          </c:tx>
          <c:spPr>
            <a:pattFill prst="pct80">
              <a:fgClr>
                <a:sysClr val="windowText" lastClr="000000"/>
              </a:fgClr>
              <a:bgClr>
                <a:schemeClr val="bg1"/>
              </a:bgClr>
            </a:pattFill>
          </c:spPr>
          <c:explosion val="15"/>
          <c:dPt>
            <c:idx val="0"/>
            <c:bubble3D val="0"/>
            <c:spPr>
              <a:pattFill prst="lgConfetti">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4502-40DC-9F7A-79BC3EDCDD19}"/>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4502-40DC-9F7A-79BC3EDCDD19}"/>
              </c:ext>
            </c:extLst>
          </c:dPt>
          <c:dPt>
            <c:idx val="2"/>
            <c:bubble3D val="0"/>
            <c:spPr>
              <a:pattFill prst="pct9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4502-40DC-9F7A-79BC3EDCDD19}"/>
              </c:ext>
            </c:extLst>
          </c:dPt>
          <c:dLbls>
            <c:dLbl>
              <c:idx val="0"/>
              <c:layout>
                <c:manualLayout>
                  <c:x val="2.6345013646202592E-2"/>
                  <c:y val="-4.772379746101774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502-40DC-9F7A-79BC3EDCDD19}"/>
                </c:ext>
              </c:extLst>
            </c:dLbl>
            <c:dLbl>
              <c:idx val="1"/>
              <c:layout>
                <c:manualLayout>
                  <c:x val="0.11324323322315596"/>
                  <c:y val="-5.169813829560544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502-40DC-9F7A-79BC3EDCDD19}"/>
                </c:ext>
              </c:extLst>
            </c:dLbl>
            <c:dLbl>
              <c:idx val="2"/>
              <c:layout>
                <c:manualLayout>
                  <c:x val="-1.2140930300379119E-2"/>
                  <c:y val="-3.151887264091988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502-40DC-9F7A-79BC3EDCDD1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задовільний</c:v>
                </c:pt>
                <c:pt idx="1">
                  <c:v>середній</c:v>
                </c:pt>
                <c:pt idx="2">
                  <c:v>добрий</c:v>
                </c:pt>
              </c:strCache>
            </c:strRef>
          </c:cat>
          <c:val>
            <c:numRef>
              <c:f>Аркуш1!$B$2:$B$4</c:f>
              <c:numCache>
                <c:formatCode>General</c:formatCode>
                <c:ptCount val="3"/>
                <c:pt idx="0">
                  <c:v>12.5</c:v>
                </c:pt>
                <c:pt idx="1">
                  <c:v>62.5</c:v>
                </c:pt>
                <c:pt idx="2">
                  <c:v>25</c:v>
                </c:pt>
              </c:numCache>
            </c:numRef>
          </c:val>
          <c:extLst>
            <c:ext xmlns:c16="http://schemas.microsoft.com/office/drawing/2014/chart" uri="{C3380CC4-5D6E-409C-BE32-E72D297353CC}">
              <c16:uniqueId val="{00000006-4502-40DC-9F7A-79BC3EDCDD19}"/>
            </c:ext>
          </c:extLst>
        </c:ser>
        <c:dLbls>
          <c:showLegendKey val="0"/>
          <c:showVal val="0"/>
          <c:showCatName val="0"/>
          <c:showSerName val="0"/>
          <c:showPercent val="1"/>
          <c:showBubbleSize val="0"/>
          <c:showLeaderLines val="1"/>
        </c:dLbls>
      </c:pie3DChart>
      <c:spPr>
        <a:noFill/>
        <a:ln>
          <a:noFill/>
        </a:ln>
        <a:effectLst/>
      </c:spPr>
    </c:plotArea>
    <c:legend>
      <c:legendPos val="t"/>
      <c:layout>
        <c:manualLayout>
          <c:xMode val="edge"/>
          <c:yMode val="edge"/>
          <c:x val="5.0706265845708073E-2"/>
          <c:y val="0.91396815276852028"/>
          <c:w val="0.89999990493763438"/>
          <c:h val="8.603184723147969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333333333333329E-2"/>
          <c:y val="0.11266091738532684"/>
          <c:w val="0.82407407407407407"/>
          <c:h val="0.69273340832395947"/>
        </c:manualLayout>
      </c:layout>
      <c:pie3DChart>
        <c:varyColors val="1"/>
        <c:ser>
          <c:idx val="0"/>
          <c:order val="0"/>
          <c:tx>
            <c:strRef>
              <c:f>Аркуш1!$B$1</c:f>
              <c:strCache>
                <c:ptCount val="1"/>
                <c:pt idx="0">
                  <c:v>Продаж</c:v>
                </c:pt>
              </c:strCache>
            </c:strRef>
          </c:tx>
          <c:spPr>
            <a:pattFill prst="pct80">
              <a:fgClr>
                <a:sysClr val="windowText" lastClr="000000"/>
              </a:fgClr>
              <a:bgClr>
                <a:schemeClr val="bg1"/>
              </a:bgClr>
            </a:pattFill>
          </c:spPr>
          <c:explosion val="15"/>
          <c:dPt>
            <c:idx val="0"/>
            <c:bubble3D val="0"/>
            <c:spPr>
              <a:pattFill prst="lgConfetti">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C7E6-4E4E-B5E7-5959D7080B2D}"/>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C7E6-4E4E-B5E7-5959D7080B2D}"/>
              </c:ext>
            </c:extLst>
          </c:dPt>
          <c:dPt>
            <c:idx val="2"/>
            <c:bubble3D val="0"/>
            <c:spPr>
              <a:pattFill prst="pct9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C7E6-4E4E-B5E7-5959D7080B2D}"/>
              </c:ext>
            </c:extLst>
          </c:dPt>
          <c:dLbls>
            <c:dLbl>
              <c:idx val="0"/>
              <c:layout>
                <c:manualLayout>
                  <c:x val="2.6345013646202592E-2"/>
                  <c:y val="-4.772379746101774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7E6-4E4E-B5E7-5959D7080B2D}"/>
                </c:ext>
              </c:extLst>
            </c:dLbl>
            <c:dLbl>
              <c:idx val="1"/>
              <c:layout>
                <c:manualLayout>
                  <c:x val="0.11324323322315596"/>
                  <c:y val="-5.169813829560544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7E6-4E4E-B5E7-5959D7080B2D}"/>
                </c:ext>
              </c:extLst>
            </c:dLbl>
            <c:dLbl>
              <c:idx val="2"/>
              <c:layout>
                <c:manualLayout>
                  <c:x val="-1.2140930300379119E-2"/>
                  <c:y val="-3.151887264091988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7E6-4E4E-B5E7-5959D7080B2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задовільний</c:v>
                </c:pt>
                <c:pt idx="1">
                  <c:v>середній</c:v>
                </c:pt>
                <c:pt idx="2">
                  <c:v>добрий</c:v>
                </c:pt>
              </c:strCache>
            </c:strRef>
          </c:cat>
          <c:val>
            <c:numRef>
              <c:f>Аркуш1!$B$2:$B$4</c:f>
              <c:numCache>
                <c:formatCode>General</c:formatCode>
                <c:ptCount val="3"/>
                <c:pt idx="0">
                  <c:v>12.5</c:v>
                </c:pt>
                <c:pt idx="1">
                  <c:v>62.5</c:v>
                </c:pt>
                <c:pt idx="2">
                  <c:v>25</c:v>
                </c:pt>
              </c:numCache>
            </c:numRef>
          </c:val>
          <c:extLst>
            <c:ext xmlns:c16="http://schemas.microsoft.com/office/drawing/2014/chart" uri="{C3380CC4-5D6E-409C-BE32-E72D297353CC}">
              <c16:uniqueId val="{00000006-C7E6-4E4E-B5E7-5959D7080B2D}"/>
            </c:ext>
          </c:extLst>
        </c:ser>
        <c:dLbls>
          <c:showLegendKey val="0"/>
          <c:showVal val="0"/>
          <c:showCatName val="0"/>
          <c:showSerName val="0"/>
          <c:showPercent val="1"/>
          <c:showBubbleSize val="0"/>
          <c:showLeaderLines val="1"/>
        </c:dLbls>
      </c:pie3DChart>
      <c:spPr>
        <a:noFill/>
        <a:ln>
          <a:noFill/>
        </a:ln>
        <a:effectLst/>
      </c:spPr>
    </c:plotArea>
    <c:legend>
      <c:legendPos val="t"/>
      <c:layout>
        <c:manualLayout>
          <c:xMode val="edge"/>
          <c:yMode val="edge"/>
          <c:x val="5.0706265845708073E-2"/>
          <c:y val="0.91396815276852028"/>
          <c:w val="0.89999990493763438"/>
          <c:h val="8.603184723147969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160688247302419"/>
          <c:y val="3.5149384885764502E-2"/>
          <c:w val="0.82841262029746265"/>
          <c:h val="0.74627478163727701"/>
        </c:manualLayout>
      </c:layout>
      <c:bar3DChart>
        <c:barDir val="col"/>
        <c:grouping val="clustered"/>
        <c:varyColors val="0"/>
        <c:ser>
          <c:idx val="0"/>
          <c:order val="0"/>
          <c:tx>
            <c:strRef>
              <c:f>Аркуш1!$B$1</c:f>
              <c:strCache>
                <c:ptCount val="1"/>
                <c:pt idx="0">
                  <c:v>несприятливий стан</c:v>
                </c:pt>
              </c:strCache>
            </c:strRef>
          </c:tx>
          <c:spPr>
            <a:pattFill prst="pct90">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Аркуш1!$B$2:$B$4</c:f>
              <c:numCache>
                <c:formatCode>0</c:formatCode>
                <c:ptCount val="3"/>
                <c:pt idx="0">
                  <c:v>12.5</c:v>
                </c:pt>
                <c:pt idx="1">
                  <c:v>25</c:v>
                </c:pt>
                <c:pt idx="2">
                  <c:v>12.5</c:v>
                </c:pt>
              </c:numCache>
            </c:numRef>
          </c:val>
          <c:extLst>
            <c:ext xmlns:c16="http://schemas.microsoft.com/office/drawing/2014/chart" uri="{C3380CC4-5D6E-409C-BE32-E72D297353CC}">
              <c16:uniqueId val="{00000000-62ED-4709-AC7C-7F3FBFA5AF92}"/>
            </c:ext>
          </c:extLst>
        </c:ser>
        <c:ser>
          <c:idx val="1"/>
          <c:order val="1"/>
          <c:tx>
            <c:strRef>
              <c:f>Аркуш1!$C$1</c:f>
              <c:strCache>
                <c:ptCount val="1"/>
                <c:pt idx="0">
                  <c:v>задовільний стан</c:v>
                </c:pt>
              </c:strCache>
            </c:strRef>
          </c:tx>
          <c:spPr>
            <a:pattFill prst="narVert">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Аркуш1!$C$2:$C$4</c:f>
              <c:numCache>
                <c:formatCode>0</c:formatCode>
                <c:ptCount val="3"/>
                <c:pt idx="0">
                  <c:v>50</c:v>
                </c:pt>
                <c:pt idx="1">
                  <c:v>62.5</c:v>
                </c:pt>
                <c:pt idx="2">
                  <c:v>50</c:v>
                </c:pt>
              </c:numCache>
            </c:numRef>
          </c:val>
          <c:extLst>
            <c:ext xmlns:c16="http://schemas.microsoft.com/office/drawing/2014/chart" uri="{C3380CC4-5D6E-409C-BE32-E72D297353CC}">
              <c16:uniqueId val="{00000001-62ED-4709-AC7C-7F3FBFA5AF92}"/>
            </c:ext>
          </c:extLst>
        </c:ser>
        <c:ser>
          <c:idx val="2"/>
          <c:order val="2"/>
          <c:tx>
            <c:strRef>
              <c:f>Аркуш1!$D$1</c:f>
              <c:strCache>
                <c:ptCount val="1"/>
                <c:pt idx="0">
                  <c:v>сприятливий стан</c:v>
                </c:pt>
              </c:strCache>
            </c:strRef>
          </c:tx>
          <c:spPr>
            <a:pattFill prst="openDmnd">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Аркуш1!$D$2:$D$4</c:f>
              <c:numCache>
                <c:formatCode>0</c:formatCode>
                <c:ptCount val="3"/>
                <c:pt idx="0">
                  <c:v>37.5</c:v>
                </c:pt>
                <c:pt idx="1">
                  <c:v>12.5</c:v>
                </c:pt>
                <c:pt idx="2">
                  <c:v>37.5</c:v>
                </c:pt>
              </c:numCache>
            </c:numRef>
          </c:val>
          <c:extLst>
            <c:ext xmlns:c16="http://schemas.microsoft.com/office/drawing/2014/chart" uri="{C3380CC4-5D6E-409C-BE32-E72D297353CC}">
              <c16:uniqueId val="{00000002-62ED-4709-AC7C-7F3FBFA5AF92}"/>
            </c:ext>
          </c:extLst>
        </c:ser>
        <c:dLbls>
          <c:showLegendKey val="0"/>
          <c:showVal val="0"/>
          <c:showCatName val="0"/>
          <c:showSerName val="0"/>
          <c:showPercent val="0"/>
          <c:showBubbleSize val="0"/>
        </c:dLbls>
        <c:gapWidth val="300"/>
        <c:shape val="box"/>
        <c:axId val="174208000"/>
        <c:axId val="171862848"/>
        <c:axId val="0"/>
      </c:bar3DChart>
      <c:catAx>
        <c:axId val="174208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862848"/>
        <c:crosses val="autoZero"/>
        <c:auto val="1"/>
        <c:lblAlgn val="ctr"/>
        <c:lblOffset val="100"/>
        <c:noMultiLvlLbl val="0"/>
      </c:catAx>
      <c:valAx>
        <c:axId val="17186284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осіб, %</a:t>
                </a:r>
              </a:p>
            </c:rich>
          </c:tx>
          <c:layout>
            <c:manualLayout>
              <c:xMode val="edge"/>
              <c:yMode val="edge"/>
              <c:x val="1.8284120734908135E-2"/>
              <c:y val="0.199219769201641"/>
            </c:manualLayout>
          </c:layout>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4208000"/>
        <c:crosses val="autoZero"/>
        <c:crossBetween val="between"/>
      </c:valAx>
      <c:spPr>
        <a:noFill/>
        <a:ln>
          <a:noFill/>
        </a:ln>
        <a:effectLst/>
      </c:spPr>
    </c:plotArea>
    <c:legend>
      <c:legendPos val="r"/>
      <c:layout>
        <c:manualLayout>
          <c:xMode val="edge"/>
          <c:yMode val="edge"/>
          <c:x val="5.566765091863516E-2"/>
          <c:y val="0.87286238525185167"/>
          <c:w val="0.90729531204432767"/>
          <c:h val="9.4664816522475353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160688247302419"/>
          <c:y val="3.5149384885764502E-2"/>
          <c:w val="0.82841262029746265"/>
          <c:h val="0.74627478163727701"/>
        </c:manualLayout>
      </c:layout>
      <c:bar3DChart>
        <c:barDir val="col"/>
        <c:grouping val="clustered"/>
        <c:varyColors val="0"/>
        <c:ser>
          <c:idx val="0"/>
          <c:order val="0"/>
          <c:tx>
            <c:strRef>
              <c:f>Аркуш1!$B$1</c:f>
              <c:strCache>
                <c:ptCount val="1"/>
                <c:pt idx="0">
                  <c:v>несприятливий стан</c:v>
                </c:pt>
              </c:strCache>
            </c:strRef>
          </c:tx>
          <c:spPr>
            <a:pattFill prst="pct90">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Аркуш1!$B$2:$B$4</c:f>
              <c:numCache>
                <c:formatCode>0</c:formatCode>
                <c:ptCount val="3"/>
                <c:pt idx="0">
                  <c:v>12.5</c:v>
                </c:pt>
                <c:pt idx="1">
                  <c:v>12.5</c:v>
                </c:pt>
                <c:pt idx="2">
                  <c:v>12.5</c:v>
                </c:pt>
              </c:numCache>
            </c:numRef>
          </c:val>
          <c:extLst>
            <c:ext xmlns:c16="http://schemas.microsoft.com/office/drawing/2014/chart" uri="{C3380CC4-5D6E-409C-BE32-E72D297353CC}">
              <c16:uniqueId val="{00000000-EDB7-4B52-BFA0-40CC04E4B578}"/>
            </c:ext>
          </c:extLst>
        </c:ser>
        <c:ser>
          <c:idx val="1"/>
          <c:order val="1"/>
          <c:tx>
            <c:strRef>
              <c:f>Аркуш1!$C$1</c:f>
              <c:strCache>
                <c:ptCount val="1"/>
                <c:pt idx="0">
                  <c:v>задовільний стан</c:v>
                </c:pt>
              </c:strCache>
            </c:strRef>
          </c:tx>
          <c:spPr>
            <a:pattFill prst="narVert">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Аркуш1!$C$2:$C$4</c:f>
              <c:numCache>
                <c:formatCode>0</c:formatCode>
                <c:ptCount val="3"/>
                <c:pt idx="0">
                  <c:v>62.5</c:v>
                </c:pt>
                <c:pt idx="1">
                  <c:v>75</c:v>
                </c:pt>
                <c:pt idx="2">
                  <c:v>50</c:v>
                </c:pt>
              </c:numCache>
            </c:numRef>
          </c:val>
          <c:extLst>
            <c:ext xmlns:c16="http://schemas.microsoft.com/office/drawing/2014/chart" uri="{C3380CC4-5D6E-409C-BE32-E72D297353CC}">
              <c16:uniqueId val="{00000001-EDB7-4B52-BFA0-40CC04E4B578}"/>
            </c:ext>
          </c:extLst>
        </c:ser>
        <c:ser>
          <c:idx val="2"/>
          <c:order val="2"/>
          <c:tx>
            <c:strRef>
              <c:f>Аркуш1!$D$1</c:f>
              <c:strCache>
                <c:ptCount val="1"/>
                <c:pt idx="0">
                  <c:v>сприятливий стан</c:v>
                </c:pt>
              </c:strCache>
            </c:strRef>
          </c:tx>
          <c:spPr>
            <a:pattFill prst="openDmnd">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Аркуш1!$D$2:$D$4</c:f>
              <c:numCache>
                <c:formatCode>0</c:formatCode>
                <c:ptCount val="3"/>
                <c:pt idx="0">
                  <c:v>25</c:v>
                </c:pt>
                <c:pt idx="1">
                  <c:v>12.5</c:v>
                </c:pt>
                <c:pt idx="2">
                  <c:v>37.5</c:v>
                </c:pt>
              </c:numCache>
            </c:numRef>
          </c:val>
          <c:extLst>
            <c:ext xmlns:c16="http://schemas.microsoft.com/office/drawing/2014/chart" uri="{C3380CC4-5D6E-409C-BE32-E72D297353CC}">
              <c16:uniqueId val="{00000002-EDB7-4B52-BFA0-40CC04E4B578}"/>
            </c:ext>
          </c:extLst>
        </c:ser>
        <c:dLbls>
          <c:showLegendKey val="0"/>
          <c:showVal val="0"/>
          <c:showCatName val="0"/>
          <c:showSerName val="0"/>
          <c:showPercent val="0"/>
          <c:showBubbleSize val="0"/>
        </c:dLbls>
        <c:gapWidth val="300"/>
        <c:shape val="box"/>
        <c:axId val="174208000"/>
        <c:axId val="171862848"/>
        <c:axId val="0"/>
      </c:bar3DChart>
      <c:catAx>
        <c:axId val="174208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862848"/>
        <c:crosses val="autoZero"/>
        <c:auto val="1"/>
        <c:lblAlgn val="ctr"/>
        <c:lblOffset val="100"/>
        <c:noMultiLvlLbl val="0"/>
      </c:catAx>
      <c:valAx>
        <c:axId val="17186284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осіб, %</a:t>
                </a:r>
              </a:p>
            </c:rich>
          </c:tx>
          <c:layout>
            <c:manualLayout>
              <c:xMode val="edge"/>
              <c:yMode val="edge"/>
              <c:x val="1.8284120734908135E-2"/>
              <c:y val="0.199219769201641"/>
            </c:manualLayout>
          </c:layout>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4208000"/>
        <c:crosses val="autoZero"/>
        <c:crossBetween val="between"/>
      </c:valAx>
      <c:spPr>
        <a:noFill/>
        <a:ln>
          <a:noFill/>
        </a:ln>
        <a:effectLst/>
      </c:spPr>
    </c:plotArea>
    <c:legend>
      <c:legendPos val="r"/>
      <c:layout>
        <c:manualLayout>
          <c:xMode val="edge"/>
          <c:yMode val="edge"/>
          <c:x val="5.566765091863516E-2"/>
          <c:y val="0.87286238525185167"/>
          <c:w val="0.90729531204432767"/>
          <c:h val="9.4664816522475353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на початку експерименту</c:v>
                </c:pt>
              </c:strCache>
            </c:strRef>
          </c:tx>
          <c:spPr>
            <a:pattFill prst="pct90">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Аркуш1!$B$2:$B$5</c:f>
              <c:numCache>
                <c:formatCode>General</c:formatCode>
                <c:ptCount val="4"/>
                <c:pt idx="0">
                  <c:v>70.2</c:v>
                </c:pt>
                <c:pt idx="1">
                  <c:v>85.3</c:v>
                </c:pt>
                <c:pt idx="2">
                  <c:v>68.2</c:v>
                </c:pt>
                <c:pt idx="3">
                  <c:v>72.400000000000006</c:v>
                </c:pt>
              </c:numCache>
            </c:numRef>
          </c:val>
          <c:extLst>
            <c:ext xmlns:c16="http://schemas.microsoft.com/office/drawing/2014/chart" uri="{C3380CC4-5D6E-409C-BE32-E72D297353CC}">
              <c16:uniqueId val="{00000000-03AF-4FA3-925B-58B94D3B7980}"/>
            </c:ext>
          </c:extLst>
        </c:ser>
        <c:ser>
          <c:idx val="1"/>
          <c:order val="1"/>
          <c:tx>
            <c:strRef>
              <c:f>Аркуш1!$C$1</c:f>
              <c:strCache>
                <c:ptCount val="1"/>
                <c:pt idx="0">
                  <c:v>в кінці експерименту</c:v>
                </c:pt>
              </c:strCache>
            </c:strRef>
          </c:tx>
          <c:spPr>
            <a:pattFill prst="openDmnd">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Аркуш1!$C$2:$C$5</c:f>
              <c:numCache>
                <c:formatCode>General</c:formatCode>
                <c:ptCount val="4"/>
                <c:pt idx="0">
                  <c:v>76.400000000000006</c:v>
                </c:pt>
                <c:pt idx="1">
                  <c:v>92.2</c:v>
                </c:pt>
                <c:pt idx="2">
                  <c:v>81.2</c:v>
                </c:pt>
                <c:pt idx="3">
                  <c:v>77.400000000000006</c:v>
                </c:pt>
              </c:numCache>
            </c:numRef>
          </c:val>
          <c:extLst>
            <c:ext xmlns:c16="http://schemas.microsoft.com/office/drawing/2014/chart" uri="{C3380CC4-5D6E-409C-BE32-E72D297353CC}">
              <c16:uniqueId val="{00000001-03AF-4FA3-925B-58B94D3B7980}"/>
            </c:ext>
          </c:extLst>
        </c:ser>
        <c:dLbls>
          <c:showLegendKey val="0"/>
          <c:showVal val="0"/>
          <c:showCatName val="0"/>
          <c:showSerName val="0"/>
          <c:showPercent val="0"/>
          <c:showBubbleSize val="0"/>
        </c:dLbls>
        <c:gapWidth val="150"/>
        <c:shape val="box"/>
        <c:axId val="393695535"/>
        <c:axId val="314210079"/>
        <c:axId val="0"/>
      </c:bar3DChart>
      <c:catAx>
        <c:axId val="393695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14210079"/>
        <c:crosses val="autoZero"/>
        <c:auto val="1"/>
        <c:lblAlgn val="ctr"/>
        <c:lblOffset val="100"/>
        <c:noMultiLvlLbl val="0"/>
      </c:catAx>
      <c:valAx>
        <c:axId val="314210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0.21873591394022476"/>
              <c:y val="0.2541741459302291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3695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на початку експерименту</c:v>
                </c:pt>
              </c:strCache>
            </c:strRef>
          </c:tx>
          <c:spPr>
            <a:pattFill prst="pct90">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Аркуш1!$B$2:$B$5</c:f>
              <c:numCache>
                <c:formatCode>General</c:formatCode>
                <c:ptCount val="4"/>
                <c:pt idx="0">
                  <c:v>65.400000000000006</c:v>
                </c:pt>
                <c:pt idx="1">
                  <c:v>71.2</c:v>
                </c:pt>
                <c:pt idx="2">
                  <c:v>63.4</c:v>
                </c:pt>
                <c:pt idx="3">
                  <c:v>60.6</c:v>
                </c:pt>
              </c:numCache>
            </c:numRef>
          </c:val>
          <c:extLst>
            <c:ext xmlns:c16="http://schemas.microsoft.com/office/drawing/2014/chart" uri="{C3380CC4-5D6E-409C-BE32-E72D297353CC}">
              <c16:uniqueId val="{00000000-1ACB-405A-AA11-465C782E0F57}"/>
            </c:ext>
          </c:extLst>
        </c:ser>
        <c:ser>
          <c:idx val="1"/>
          <c:order val="1"/>
          <c:tx>
            <c:strRef>
              <c:f>Аркуш1!$C$1</c:f>
              <c:strCache>
                <c:ptCount val="1"/>
                <c:pt idx="0">
                  <c:v>в кінці експерименту</c:v>
                </c:pt>
              </c:strCache>
            </c:strRef>
          </c:tx>
          <c:spPr>
            <a:pattFill prst="openDmnd">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Аркуш1!$C$2:$C$5</c:f>
              <c:numCache>
                <c:formatCode>General</c:formatCode>
                <c:ptCount val="4"/>
                <c:pt idx="0">
                  <c:v>68.2</c:v>
                </c:pt>
                <c:pt idx="1">
                  <c:v>90.3</c:v>
                </c:pt>
                <c:pt idx="2">
                  <c:v>82.1</c:v>
                </c:pt>
                <c:pt idx="3">
                  <c:v>67.400000000000006</c:v>
                </c:pt>
              </c:numCache>
            </c:numRef>
          </c:val>
          <c:extLst>
            <c:ext xmlns:c16="http://schemas.microsoft.com/office/drawing/2014/chart" uri="{C3380CC4-5D6E-409C-BE32-E72D297353CC}">
              <c16:uniqueId val="{00000001-1ACB-405A-AA11-465C782E0F57}"/>
            </c:ext>
          </c:extLst>
        </c:ser>
        <c:dLbls>
          <c:showLegendKey val="0"/>
          <c:showVal val="0"/>
          <c:showCatName val="0"/>
          <c:showSerName val="0"/>
          <c:showPercent val="0"/>
          <c:showBubbleSize val="0"/>
        </c:dLbls>
        <c:gapWidth val="150"/>
        <c:shape val="box"/>
        <c:axId val="393695535"/>
        <c:axId val="314210079"/>
        <c:axId val="0"/>
      </c:bar3DChart>
      <c:catAx>
        <c:axId val="393695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14210079"/>
        <c:crosses val="autoZero"/>
        <c:auto val="1"/>
        <c:lblAlgn val="ctr"/>
        <c:lblOffset val="100"/>
        <c:noMultiLvlLbl val="0"/>
      </c:catAx>
      <c:valAx>
        <c:axId val="314210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0.21873591394022476"/>
              <c:y val="0.2541741459302291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3695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на початку експерименту</c:v>
                </c:pt>
              </c:strCache>
            </c:strRef>
          </c:tx>
          <c:spPr>
            <a:pattFill prst="pct90">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Аркуш1!$B$2:$B$5</c:f>
              <c:numCache>
                <c:formatCode>General</c:formatCode>
                <c:ptCount val="4"/>
                <c:pt idx="0">
                  <c:v>64.5</c:v>
                </c:pt>
                <c:pt idx="1">
                  <c:v>82.6</c:v>
                </c:pt>
                <c:pt idx="2">
                  <c:v>57.9</c:v>
                </c:pt>
                <c:pt idx="3">
                  <c:v>73.400000000000006</c:v>
                </c:pt>
              </c:numCache>
            </c:numRef>
          </c:val>
          <c:extLst>
            <c:ext xmlns:c16="http://schemas.microsoft.com/office/drawing/2014/chart" uri="{C3380CC4-5D6E-409C-BE32-E72D297353CC}">
              <c16:uniqueId val="{00000000-BD69-460E-86F8-42CFDCFA7629}"/>
            </c:ext>
          </c:extLst>
        </c:ser>
        <c:ser>
          <c:idx val="1"/>
          <c:order val="1"/>
          <c:tx>
            <c:strRef>
              <c:f>Аркуш1!$C$1</c:f>
              <c:strCache>
                <c:ptCount val="1"/>
                <c:pt idx="0">
                  <c:v>в кінці експерименту</c:v>
                </c:pt>
              </c:strCache>
            </c:strRef>
          </c:tx>
          <c:spPr>
            <a:pattFill prst="openDmnd">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Аркуш1!$C$2:$C$5</c:f>
              <c:numCache>
                <c:formatCode>General</c:formatCode>
                <c:ptCount val="4"/>
                <c:pt idx="0">
                  <c:v>71.400000000000006</c:v>
                </c:pt>
                <c:pt idx="1">
                  <c:v>85.6</c:v>
                </c:pt>
                <c:pt idx="2">
                  <c:v>73.3</c:v>
                </c:pt>
                <c:pt idx="3">
                  <c:v>78.400000000000006</c:v>
                </c:pt>
              </c:numCache>
            </c:numRef>
          </c:val>
          <c:extLst>
            <c:ext xmlns:c16="http://schemas.microsoft.com/office/drawing/2014/chart" uri="{C3380CC4-5D6E-409C-BE32-E72D297353CC}">
              <c16:uniqueId val="{00000001-BD69-460E-86F8-42CFDCFA7629}"/>
            </c:ext>
          </c:extLst>
        </c:ser>
        <c:dLbls>
          <c:showLegendKey val="0"/>
          <c:showVal val="0"/>
          <c:showCatName val="0"/>
          <c:showSerName val="0"/>
          <c:showPercent val="0"/>
          <c:showBubbleSize val="0"/>
        </c:dLbls>
        <c:gapWidth val="150"/>
        <c:shape val="box"/>
        <c:axId val="393695535"/>
        <c:axId val="314210079"/>
        <c:axId val="0"/>
      </c:bar3DChart>
      <c:catAx>
        <c:axId val="393695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14210079"/>
        <c:crosses val="autoZero"/>
        <c:auto val="1"/>
        <c:lblAlgn val="ctr"/>
        <c:lblOffset val="100"/>
        <c:noMultiLvlLbl val="0"/>
      </c:catAx>
      <c:valAx>
        <c:axId val="314210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0.21873591394022476"/>
              <c:y val="0.2541741459302291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3695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LJd7SkulaVI/J3VAfwXJad3D8A==">CgMxLjAaJQoBMBIgCh4IB0IaCg9UaW1lcyBOZXcgUm9tYW4SB0d1bmdzdWgaJQoBMRIgCh4IB0IaCg9UaW1lcyBOZXcgUm9tYW4SB0d1bmdzdWgaJQoBMhIgCh4IB0IaCg9UaW1lcyBOZXcgUm9tYW4SB0d1bmdzdWgaJQoBMxIgCh4IB0IaCg9UaW1lcyBOZXcgUm9tYW4SB0d1bmdzdWgaJQoBNBIgCh4IB0IaCg9UaW1lcyBOZXcgUm9tYW4SB0d1bmdzdWg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gAciExV3NHc21LaEE0N1pwN3A3aThxY0ZqdGJVUEN5cVFETm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57394</Words>
  <Characters>32715</Characters>
  <Application>Microsoft Office Word</Application>
  <DocSecurity>0</DocSecurity>
  <Lines>272</Lines>
  <Paragraphs>179</Paragraphs>
  <ScaleCrop>false</ScaleCrop>
  <Company/>
  <LinksUpToDate>false</LinksUpToDate>
  <CharactersWithSpaces>89930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Пальчук Марія</dc:creator>
  <cp:lastModifiedBy>nitro</cp:lastModifiedBy>
  <cp:revision>2</cp:revision>
  <dcterms:created xsi:type="dcterms:W3CDTF">2024-11-14T19:25:00Z</dcterms:created>
  <dcterms:modified xsi:type="dcterms:W3CDTF">2024-12-26T19:56:00Z</dcterms:modified>
</cp:coreProperties>
</file>