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572B6" w:rsidRDefault="00B572B6" w:rsidP="00B572B6">
      <w:pPr>
        <w:spacing w:after="120"/>
        <w:ind w:hanging="3"/>
        <w:jc w:val="center"/>
        <w:rPr>
          <w:sz w:val="28"/>
          <w:szCs w:val="28"/>
          <w:lang w:val="uk-UA"/>
        </w:rPr>
      </w:pPr>
      <w:r>
        <w:rPr>
          <w:color w:val="000000" w:themeColor="text1"/>
          <w:sz w:val="28"/>
          <w:szCs w:val="28"/>
          <w:lang w:val="uk-UA"/>
        </w:rPr>
        <w:t>МІНІСТЕРСТВО МОЛОДІ ТА СПОРТУ УКРАЇНИ</w:t>
      </w:r>
    </w:p>
    <w:p w:rsidR="00B572B6" w:rsidRDefault="00B572B6" w:rsidP="00B572B6">
      <w:pPr>
        <w:spacing w:after="120"/>
        <w:ind w:hanging="3"/>
        <w:jc w:val="center"/>
        <w:rPr>
          <w:sz w:val="28"/>
          <w:szCs w:val="28"/>
          <w:lang w:val="uk-UA"/>
        </w:rPr>
      </w:pPr>
      <w:r>
        <w:rPr>
          <w:sz w:val="28"/>
          <w:szCs w:val="28"/>
          <w:lang w:val="uk-UA"/>
        </w:rPr>
        <w:t>НАЦІОНАЛЬНИЙ УНІВЕРСИТЕТ ФІЗИЧНОГО ВИХОВАННЯ І СПОРТУ УКРАЇНИ</w:t>
      </w:r>
    </w:p>
    <w:p w:rsidR="003C0557" w:rsidRDefault="00496676" w:rsidP="00496676">
      <w:pPr>
        <w:pStyle w:val="Default"/>
        <w:spacing w:before="0" w:line="360" w:lineRule="auto"/>
        <w:jc w:val="center"/>
        <w:rPr>
          <w:rFonts w:ascii="Times Roman" w:eastAsia="Times Roman" w:hAnsi="Times Roman" w:cs="Times Roman"/>
          <w:sz w:val="28"/>
          <w:szCs w:val="28"/>
        </w:rPr>
      </w:pPr>
      <w:r>
        <w:rPr>
          <w:rFonts w:ascii="Times Roman" w:hAnsi="Times Roman"/>
          <w:sz w:val="28"/>
          <w:szCs w:val="28"/>
        </w:rPr>
        <w:t xml:space="preserve">КАФЕДРА МЕДИЧНОЇ БІОЛОГІЇ ТА СПОРТИВНОЇ ДІЄТОЛОГІЇ </w:t>
      </w:r>
    </w:p>
    <w:p w:rsidR="003C0557" w:rsidRDefault="003C0557" w:rsidP="00496676">
      <w:pPr>
        <w:pStyle w:val="Default"/>
        <w:spacing w:before="0" w:line="240" w:lineRule="auto"/>
        <w:rPr>
          <w:rFonts w:ascii="Times Roman" w:eastAsia="Times Roman" w:hAnsi="Times Roman" w:cs="Times Roman"/>
          <w:sz w:val="28"/>
          <w:szCs w:val="28"/>
        </w:rPr>
      </w:pPr>
    </w:p>
    <w:p w:rsidR="00496676" w:rsidRDefault="00496676" w:rsidP="00E6122A">
      <w:pPr>
        <w:pStyle w:val="Default"/>
        <w:spacing w:before="0" w:line="360" w:lineRule="auto"/>
        <w:jc w:val="center"/>
        <w:rPr>
          <w:rFonts w:ascii="Times New Roman" w:hAnsi="Times New Roman"/>
          <w:sz w:val="28"/>
          <w:szCs w:val="28"/>
        </w:rPr>
      </w:pPr>
      <w:r w:rsidRPr="00496676">
        <w:rPr>
          <w:rFonts w:ascii="Times New Roman" w:hAnsi="Times New Roman"/>
          <w:b/>
          <w:sz w:val="28"/>
          <w:szCs w:val="28"/>
        </w:rPr>
        <w:t>КВАЛІФІКАЦІЙНА РОБОТА</w:t>
      </w:r>
      <w:r w:rsidR="00030A4E">
        <w:rPr>
          <w:rFonts w:ascii="Times New Roman" w:hAnsi="Times New Roman"/>
          <w:sz w:val="28"/>
          <w:szCs w:val="28"/>
        </w:rPr>
        <w:br/>
        <w:t>на здобуття освітнього ступеня магістра</w:t>
      </w:r>
      <w:r w:rsidR="00030A4E">
        <w:rPr>
          <w:rFonts w:ascii="Times New Roman" w:hAnsi="Times New Roman"/>
          <w:sz w:val="28"/>
          <w:szCs w:val="28"/>
        </w:rPr>
        <w:br/>
        <w:t>за спеціальністю 091 Біологія та біохімія</w:t>
      </w:r>
      <w:r w:rsidR="00030A4E">
        <w:rPr>
          <w:rFonts w:ascii="Times New Roman" w:hAnsi="Times New Roman"/>
          <w:sz w:val="28"/>
          <w:szCs w:val="28"/>
        </w:rPr>
        <w:br/>
        <w:t>освітньою програмою «Спортивна дієтологія»</w:t>
      </w:r>
    </w:p>
    <w:p w:rsidR="003C0557" w:rsidRDefault="00496676" w:rsidP="00496676">
      <w:pPr>
        <w:pStyle w:val="Default"/>
        <w:spacing w:before="0" w:line="360" w:lineRule="auto"/>
        <w:jc w:val="center"/>
        <w:rPr>
          <w:rFonts w:ascii="Times New Roman" w:eastAsia="Times New Roman" w:hAnsi="Times New Roman" w:cs="Times New Roman"/>
          <w:sz w:val="28"/>
          <w:szCs w:val="28"/>
        </w:rPr>
      </w:pPr>
      <w:r w:rsidRPr="00E6122A">
        <w:rPr>
          <w:rFonts w:ascii="Times New Roman" w:hAnsi="Times New Roman"/>
          <w:sz w:val="28"/>
          <w:szCs w:val="28"/>
        </w:rPr>
        <w:t>на тему:</w:t>
      </w:r>
      <w:r>
        <w:rPr>
          <w:rFonts w:ascii="Times New Roman" w:hAnsi="Times New Roman"/>
          <w:b/>
          <w:bCs/>
          <w:sz w:val="28"/>
          <w:szCs w:val="28"/>
        </w:rPr>
        <w:t xml:space="preserve"> «ОСОБЛИВОСТІ ЗНИЖЕННЯ МАСИ ТІЛА ПРИ РІЗНИХ ВАРІАЦІЯХ ГЕНІВ ЖИРОВОГО ОБМІНУ В УМОВАХ М’ЯЗОВОЇ РОБОТИ»</w:t>
      </w:r>
    </w:p>
    <w:p w:rsidR="003C0557" w:rsidRPr="00FC55DB" w:rsidRDefault="003C0557" w:rsidP="00496676">
      <w:pPr>
        <w:spacing w:line="360" w:lineRule="auto"/>
        <w:rPr>
          <w:lang w:val="uk-UA"/>
        </w:rPr>
      </w:pPr>
    </w:p>
    <w:p w:rsidR="00E6122A" w:rsidRPr="00C51DF0" w:rsidRDefault="00E6122A" w:rsidP="00E6122A">
      <w:pPr>
        <w:spacing w:line="360" w:lineRule="auto"/>
        <w:ind w:left="5041"/>
        <w:rPr>
          <w:sz w:val="28"/>
          <w:szCs w:val="28"/>
          <w:lang w:val="uk-UA"/>
        </w:rPr>
      </w:pPr>
      <w:r w:rsidRPr="00C51DF0">
        <w:rPr>
          <w:sz w:val="28"/>
          <w:szCs w:val="28"/>
          <w:lang w:val="uk-UA"/>
        </w:rPr>
        <w:t>здобувача</w:t>
      </w:r>
      <w:r w:rsidR="00030A4E" w:rsidRPr="00C51DF0">
        <w:rPr>
          <w:sz w:val="28"/>
          <w:szCs w:val="28"/>
          <w:lang w:val="uk-UA"/>
        </w:rPr>
        <w:t xml:space="preserve"> вищої освіти </w:t>
      </w:r>
    </w:p>
    <w:p w:rsidR="003C0557" w:rsidRPr="00C51DF0" w:rsidRDefault="00030A4E" w:rsidP="00E6122A">
      <w:pPr>
        <w:spacing w:line="360" w:lineRule="auto"/>
        <w:ind w:left="5041"/>
        <w:rPr>
          <w:sz w:val="28"/>
          <w:szCs w:val="28"/>
          <w:lang w:val="uk-UA"/>
        </w:rPr>
      </w:pPr>
      <w:r w:rsidRPr="00C51DF0">
        <w:rPr>
          <w:sz w:val="28"/>
          <w:szCs w:val="28"/>
          <w:lang w:val="uk-UA"/>
        </w:rPr>
        <w:t xml:space="preserve">другого (магістерського) рівня </w:t>
      </w:r>
    </w:p>
    <w:p w:rsidR="003C0557" w:rsidRPr="00C51DF0" w:rsidRDefault="00E6122A" w:rsidP="00E6122A">
      <w:pPr>
        <w:spacing w:line="360" w:lineRule="auto"/>
        <w:ind w:left="5041"/>
        <w:rPr>
          <w:b/>
          <w:bCs/>
          <w:sz w:val="28"/>
          <w:szCs w:val="28"/>
          <w:lang w:val="uk-UA"/>
        </w:rPr>
      </w:pPr>
      <w:r w:rsidRPr="00C51DF0">
        <w:rPr>
          <w:b/>
          <w:bCs/>
          <w:sz w:val="28"/>
          <w:szCs w:val="28"/>
          <w:lang w:val="uk-UA"/>
        </w:rPr>
        <w:t>Дудник Ольги Костянтинівни</w:t>
      </w:r>
      <w:r w:rsidR="00030A4E" w:rsidRPr="00C51DF0">
        <w:rPr>
          <w:b/>
          <w:bCs/>
          <w:sz w:val="28"/>
          <w:szCs w:val="28"/>
          <w:lang w:val="uk-UA"/>
        </w:rPr>
        <w:t xml:space="preserve"> </w:t>
      </w:r>
    </w:p>
    <w:p w:rsidR="003C0557" w:rsidRPr="00C51DF0" w:rsidRDefault="00E6122A" w:rsidP="00E6122A">
      <w:pPr>
        <w:spacing w:line="360" w:lineRule="auto"/>
        <w:ind w:left="5041"/>
        <w:rPr>
          <w:sz w:val="28"/>
          <w:szCs w:val="28"/>
          <w:lang w:val="uk-UA"/>
        </w:rPr>
      </w:pPr>
      <w:r w:rsidRPr="00C51DF0">
        <w:rPr>
          <w:b/>
          <w:sz w:val="28"/>
          <w:szCs w:val="28"/>
          <w:lang w:val="uk-UA"/>
        </w:rPr>
        <w:t>н</w:t>
      </w:r>
      <w:r w:rsidR="00030A4E" w:rsidRPr="00C51DF0">
        <w:rPr>
          <w:b/>
          <w:sz w:val="28"/>
          <w:szCs w:val="28"/>
          <w:lang w:val="uk-UA"/>
        </w:rPr>
        <w:t>ауковий керівник:</w:t>
      </w:r>
      <w:r w:rsidR="00030A4E" w:rsidRPr="00C51DF0">
        <w:rPr>
          <w:sz w:val="28"/>
          <w:szCs w:val="28"/>
          <w:lang w:val="uk-UA"/>
        </w:rPr>
        <w:t xml:space="preserve"> </w:t>
      </w:r>
      <w:r w:rsidRPr="00C51DF0">
        <w:rPr>
          <w:sz w:val="28"/>
          <w:szCs w:val="28"/>
          <w:lang w:val="uk-UA"/>
        </w:rPr>
        <w:t>професор Дроздовська С</w:t>
      </w:r>
      <w:r w:rsidR="00C51DF0" w:rsidRPr="00C51DF0">
        <w:rPr>
          <w:sz w:val="28"/>
          <w:szCs w:val="28"/>
          <w:lang w:val="uk-UA"/>
        </w:rPr>
        <w:t>в</w:t>
      </w:r>
      <w:r w:rsidRPr="00C51DF0">
        <w:rPr>
          <w:sz w:val="28"/>
          <w:szCs w:val="28"/>
          <w:lang w:val="uk-UA"/>
        </w:rPr>
        <w:t>ітлана Богданів</w:t>
      </w:r>
      <w:r w:rsidR="00C51DF0" w:rsidRPr="00C51DF0">
        <w:rPr>
          <w:sz w:val="28"/>
          <w:szCs w:val="28"/>
          <w:lang w:val="uk-UA"/>
        </w:rPr>
        <w:t>на</w:t>
      </w:r>
      <w:r w:rsidRPr="00C51DF0">
        <w:rPr>
          <w:sz w:val="28"/>
          <w:szCs w:val="28"/>
          <w:lang w:val="uk-UA"/>
        </w:rPr>
        <w:t xml:space="preserve"> д.б.н.</w:t>
      </w:r>
      <w:r w:rsidR="00496676" w:rsidRPr="00C51DF0">
        <w:rPr>
          <w:sz w:val="28"/>
          <w:szCs w:val="28"/>
          <w:lang w:val="uk-UA"/>
        </w:rPr>
        <w:t>, професор</w:t>
      </w:r>
      <w:r w:rsidR="00030A4E" w:rsidRPr="00C51DF0">
        <w:rPr>
          <w:sz w:val="28"/>
          <w:szCs w:val="28"/>
          <w:lang w:val="uk-UA"/>
        </w:rPr>
        <w:t xml:space="preserve"> </w:t>
      </w:r>
    </w:p>
    <w:p w:rsidR="003C0557" w:rsidRPr="00C51DF0" w:rsidRDefault="00C51DF0" w:rsidP="00C51DF0">
      <w:pPr>
        <w:spacing w:line="360" w:lineRule="auto"/>
        <w:ind w:left="5041"/>
        <w:rPr>
          <w:sz w:val="28"/>
          <w:szCs w:val="28"/>
          <w:lang w:val="uk-UA"/>
        </w:rPr>
      </w:pPr>
      <w:r w:rsidRPr="00C51DF0">
        <w:rPr>
          <w:b/>
          <w:sz w:val="28"/>
          <w:szCs w:val="28"/>
          <w:lang w:val="uk-UA"/>
        </w:rPr>
        <w:t>р</w:t>
      </w:r>
      <w:r w:rsidR="00030A4E" w:rsidRPr="00C51DF0">
        <w:rPr>
          <w:b/>
          <w:sz w:val="28"/>
          <w:szCs w:val="28"/>
          <w:lang w:val="uk-UA"/>
        </w:rPr>
        <w:t xml:space="preserve">ецензент: </w:t>
      </w:r>
      <w:r w:rsidRPr="00C51DF0">
        <w:rPr>
          <w:sz w:val="28"/>
          <w:szCs w:val="28"/>
          <w:lang w:val="uk-UA"/>
        </w:rPr>
        <w:t>Василенко Євген Володимирович, доцент кафедри терапії та реабілітації Національного університету фізичного виховання і спорту України, доцент</w:t>
      </w:r>
    </w:p>
    <w:p w:rsidR="003C0557" w:rsidRPr="00C51DF0" w:rsidRDefault="00030A4E" w:rsidP="00C51DF0">
      <w:pPr>
        <w:spacing w:line="360" w:lineRule="auto"/>
        <w:ind w:left="5041"/>
        <w:rPr>
          <w:sz w:val="28"/>
          <w:szCs w:val="28"/>
          <w:lang w:val="uk-UA"/>
        </w:rPr>
      </w:pPr>
      <w:r w:rsidRPr="00C51DF0">
        <w:rPr>
          <w:sz w:val="28"/>
          <w:szCs w:val="28"/>
          <w:lang w:val="uk-UA"/>
        </w:rPr>
        <w:t>Рекомендовано до захисту</w:t>
      </w:r>
      <w:r w:rsidRPr="00C51DF0">
        <w:rPr>
          <w:b/>
          <w:sz w:val="28"/>
          <w:szCs w:val="28"/>
          <w:lang w:val="uk-UA"/>
        </w:rPr>
        <w:t xml:space="preserve"> </w:t>
      </w:r>
      <w:r w:rsidRPr="00C51DF0">
        <w:rPr>
          <w:sz w:val="28"/>
          <w:szCs w:val="28"/>
          <w:lang w:val="uk-UA"/>
        </w:rPr>
        <w:t xml:space="preserve">на засіданні кафедри (протокол № </w:t>
      </w:r>
      <w:r w:rsidR="00496676" w:rsidRPr="00C51DF0">
        <w:rPr>
          <w:sz w:val="28"/>
          <w:szCs w:val="28"/>
          <w:lang w:val="uk-UA"/>
        </w:rPr>
        <w:t>6 від 24.02.2026 р.</w:t>
      </w:r>
      <w:r w:rsidRPr="00C51DF0">
        <w:rPr>
          <w:sz w:val="28"/>
          <w:szCs w:val="28"/>
          <w:lang w:val="uk-UA"/>
        </w:rPr>
        <w:t xml:space="preserve">) </w:t>
      </w:r>
    </w:p>
    <w:p w:rsidR="003C0557" w:rsidRPr="00C51DF0" w:rsidRDefault="007B28A0" w:rsidP="00C51DF0">
      <w:pPr>
        <w:spacing w:line="360" w:lineRule="auto"/>
        <w:ind w:left="5041"/>
        <w:rPr>
          <w:sz w:val="28"/>
          <w:szCs w:val="28"/>
          <w:lang w:val="uk-UA"/>
        </w:rPr>
      </w:pPr>
      <w:r w:rsidRPr="004A3429">
        <w:rPr>
          <w:rFonts w:asciiTheme="majorBidi" w:hAnsiTheme="majorBidi" w:cstheme="majorBidi"/>
          <w:noProof/>
        </w:rPr>
        <w:drawing>
          <wp:anchor distT="0" distB="0" distL="0" distR="0" simplePos="0" relativeHeight="251658240" behindDoc="1" locked="0" layoutInCell="1" hidden="0" allowOverlap="1" wp14:anchorId="6B42F2C7" wp14:editId="02689D8E">
            <wp:simplePos x="0" y="0"/>
            <wp:positionH relativeFrom="column">
              <wp:posOffset>4564380</wp:posOffset>
            </wp:positionH>
            <wp:positionV relativeFrom="paragraph">
              <wp:posOffset>153670</wp:posOffset>
            </wp:positionV>
            <wp:extent cx="995680" cy="522605"/>
            <wp:effectExtent l="0" t="0" r="0" b="0"/>
            <wp:wrapNone/>
            <wp:docPr id="53" name="image3.png" descr="Изображение выглядит как линия, Шрифт, белый, каллиграфия&#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995680" cy="522605"/>
                    </a:xfrm>
                    <a:prstGeom prst="rect">
                      <a:avLst/>
                    </a:prstGeom>
                    <a:ln/>
                  </pic:spPr>
                </pic:pic>
              </a:graphicData>
            </a:graphic>
          </wp:anchor>
        </w:drawing>
      </w:r>
      <w:r w:rsidR="00030A4E" w:rsidRPr="00C51DF0">
        <w:rPr>
          <w:sz w:val="28"/>
          <w:szCs w:val="28"/>
          <w:lang w:val="uk-UA"/>
        </w:rPr>
        <w:t>Завідувач кафедри</w:t>
      </w:r>
      <w:r w:rsidR="00496676" w:rsidRPr="00C51DF0">
        <w:rPr>
          <w:sz w:val="28"/>
          <w:szCs w:val="28"/>
          <w:lang w:val="uk-UA"/>
        </w:rPr>
        <w:t>:</w:t>
      </w:r>
      <w:r w:rsidR="00030A4E" w:rsidRPr="00C51DF0">
        <w:rPr>
          <w:sz w:val="28"/>
          <w:szCs w:val="28"/>
          <w:lang w:val="uk-UA"/>
        </w:rPr>
        <w:t xml:space="preserve"> </w:t>
      </w:r>
      <w:r w:rsidR="00C51DF0">
        <w:rPr>
          <w:sz w:val="28"/>
          <w:szCs w:val="28"/>
          <w:lang w:val="uk-UA"/>
        </w:rPr>
        <w:t>П</w:t>
      </w:r>
      <w:r w:rsidR="00C51DF0" w:rsidRPr="00C51DF0">
        <w:rPr>
          <w:sz w:val="28"/>
          <w:szCs w:val="28"/>
          <w:lang w:val="uk-UA"/>
        </w:rPr>
        <w:t>астухова</w:t>
      </w:r>
      <w:r w:rsidR="00C51DF0">
        <w:rPr>
          <w:sz w:val="28"/>
          <w:szCs w:val="28"/>
          <w:lang w:val="uk-UA"/>
        </w:rPr>
        <w:t xml:space="preserve"> В. А.</w:t>
      </w:r>
      <w:r w:rsidR="00030A4E" w:rsidRPr="00C51DF0">
        <w:rPr>
          <w:sz w:val="28"/>
          <w:szCs w:val="28"/>
          <w:lang w:val="uk-UA"/>
        </w:rPr>
        <w:t xml:space="preserve"> </w:t>
      </w:r>
    </w:p>
    <w:p w:rsidR="003C0557" w:rsidRPr="00C51DF0" w:rsidRDefault="00496676" w:rsidP="00E6122A">
      <w:pPr>
        <w:pStyle w:val="Default"/>
        <w:spacing w:before="0" w:line="360" w:lineRule="auto"/>
        <w:ind w:left="5041"/>
        <w:rPr>
          <w:rFonts w:ascii="Times Roman" w:eastAsia="Times Roman" w:hAnsi="Times Roman" w:cs="Times Roman"/>
        </w:rPr>
      </w:pPr>
      <w:r w:rsidRPr="00C51DF0">
        <w:rPr>
          <w:rFonts w:ascii="Times New Roman" w:hAnsi="Times New Roman"/>
          <w:sz w:val="28"/>
          <w:szCs w:val="28"/>
        </w:rPr>
        <w:t>д.м.н., професор</w:t>
      </w:r>
      <w:r w:rsidR="007B28A0">
        <w:rPr>
          <w:rFonts w:ascii="Times New Roman" w:hAnsi="Times New Roman"/>
          <w:sz w:val="28"/>
          <w:szCs w:val="28"/>
        </w:rPr>
        <w:t xml:space="preserve"> </w:t>
      </w:r>
    </w:p>
    <w:p w:rsidR="003C0557" w:rsidRPr="00C51DF0" w:rsidRDefault="003C0557" w:rsidP="00496676">
      <w:pPr>
        <w:pStyle w:val="Default"/>
        <w:spacing w:before="0" w:line="240" w:lineRule="auto"/>
        <w:rPr>
          <w:rFonts w:ascii="Times Roman" w:eastAsia="Times Roman" w:hAnsi="Times Roman" w:cs="Times Roman"/>
        </w:rPr>
      </w:pPr>
    </w:p>
    <w:p w:rsidR="003C0557" w:rsidRDefault="003C0557" w:rsidP="00496676">
      <w:pPr>
        <w:pStyle w:val="Default"/>
        <w:spacing w:before="0" w:line="240" w:lineRule="auto"/>
        <w:rPr>
          <w:rFonts w:ascii="Times Roman" w:eastAsia="Times Roman" w:hAnsi="Times Roman" w:cs="Times Roman"/>
        </w:rPr>
      </w:pPr>
    </w:p>
    <w:p w:rsidR="003C0557" w:rsidRDefault="003C0557" w:rsidP="00496676">
      <w:pPr>
        <w:pStyle w:val="Default"/>
        <w:spacing w:before="0" w:line="240" w:lineRule="auto"/>
        <w:rPr>
          <w:rFonts w:ascii="Times Roman" w:eastAsia="Times Roman" w:hAnsi="Times Roman" w:cs="Times Roman"/>
        </w:rPr>
      </w:pPr>
    </w:p>
    <w:p w:rsidR="003C0557" w:rsidRDefault="003C0557" w:rsidP="00496676">
      <w:pPr>
        <w:pStyle w:val="Default"/>
        <w:spacing w:before="0" w:line="240" w:lineRule="auto"/>
        <w:rPr>
          <w:rFonts w:ascii="Times Roman" w:eastAsia="Times Roman" w:hAnsi="Times Roman" w:cs="Times Roman"/>
        </w:rPr>
      </w:pPr>
    </w:p>
    <w:p w:rsidR="003C0557" w:rsidRDefault="00496676" w:rsidP="00496676">
      <w:pPr>
        <w:pStyle w:val="Default"/>
        <w:spacing w:before="0" w:line="240" w:lineRule="auto"/>
        <w:jc w:val="center"/>
        <w:rPr>
          <w:rFonts w:hint="eastAsia"/>
        </w:rPr>
      </w:pPr>
      <w:r>
        <w:rPr>
          <w:rFonts w:ascii="Times New Roman" w:hAnsi="Times New Roman"/>
          <w:sz w:val="28"/>
          <w:szCs w:val="28"/>
        </w:rPr>
        <w:t>Київ – 2026</w:t>
      </w:r>
      <w:r w:rsidR="00030A4E">
        <w:rPr>
          <w:rFonts w:ascii="Times New Roman" w:hAnsi="Times New Roman"/>
          <w:sz w:val="28"/>
          <w:szCs w:val="28"/>
        </w:rPr>
        <w:t xml:space="preserve"> </w:t>
      </w:r>
      <w:r w:rsidR="00030A4E">
        <w:rPr>
          <w:rFonts w:ascii="Arial Unicode MS" w:hAnsi="Arial Unicode MS"/>
          <w:sz w:val="28"/>
          <w:szCs w:val="28"/>
        </w:rPr>
        <w:br w:type="page"/>
      </w:r>
    </w:p>
    <w:p w:rsidR="003C0557" w:rsidRDefault="00030A4E">
      <w:pPr>
        <w:pStyle w:val="Default"/>
        <w:spacing w:before="0" w:line="360" w:lineRule="auto"/>
        <w:jc w:val="center"/>
        <w:rPr>
          <w:rFonts w:ascii="Times New Roman" w:eastAsia="Times New Roman" w:hAnsi="Times New Roman" w:cs="Times New Roman"/>
          <w:b/>
          <w:bCs/>
          <w:sz w:val="28"/>
          <w:szCs w:val="28"/>
        </w:rPr>
      </w:pPr>
      <w:r>
        <w:rPr>
          <w:rFonts w:ascii="Times New Roman" w:hAnsi="Times New Roman"/>
          <w:b/>
          <w:bCs/>
          <w:sz w:val="28"/>
          <w:szCs w:val="28"/>
        </w:rPr>
        <w:lastRenderedPageBreak/>
        <w:t>ЗМІСТ</w:t>
      </w:r>
    </w:p>
    <w:p w:rsidR="003C0557" w:rsidRPr="00FC55DB" w:rsidRDefault="007C1246">
      <w:pPr>
        <w:rPr>
          <w:noProof/>
          <w:lang w:val="ru-RU"/>
        </w:rPr>
      </w:pPr>
      <w:r>
        <w:rPr>
          <w:b/>
          <w:bCs/>
          <w:sz w:val="28"/>
          <w:szCs w:val="28"/>
        </w:rPr>
        <w:fldChar w:fldCharType="begin"/>
      </w:r>
      <w:r w:rsidR="00030A4E" w:rsidRPr="00FC55DB">
        <w:rPr>
          <w:b/>
          <w:bCs/>
          <w:sz w:val="28"/>
          <w:szCs w:val="28"/>
          <w:lang w:val="ru-RU"/>
        </w:rPr>
        <w:instrText xml:space="preserve"> </w:instrText>
      </w:r>
      <w:r w:rsidR="00030A4E">
        <w:rPr>
          <w:b/>
          <w:bCs/>
          <w:sz w:val="28"/>
          <w:szCs w:val="28"/>
        </w:rPr>
        <w:instrText>TOC</w:instrText>
      </w:r>
      <w:r w:rsidR="00030A4E" w:rsidRPr="00FC55DB">
        <w:rPr>
          <w:b/>
          <w:bCs/>
          <w:sz w:val="28"/>
          <w:szCs w:val="28"/>
          <w:lang w:val="ru-RU"/>
        </w:rPr>
        <w:instrText xml:space="preserve"> \</w:instrText>
      </w:r>
      <w:r w:rsidR="00030A4E">
        <w:rPr>
          <w:b/>
          <w:bCs/>
          <w:sz w:val="28"/>
          <w:szCs w:val="28"/>
        </w:rPr>
        <w:instrText>t</w:instrText>
      </w:r>
      <w:r w:rsidR="00030A4E" w:rsidRPr="00FC55DB">
        <w:rPr>
          <w:b/>
          <w:bCs/>
          <w:sz w:val="28"/>
          <w:szCs w:val="28"/>
          <w:lang w:val="ru-RU"/>
        </w:rPr>
        <w:instrText xml:space="preserve"> "</w:instrText>
      </w:r>
      <w:r w:rsidR="00030A4E">
        <w:rPr>
          <w:b/>
          <w:bCs/>
          <w:sz w:val="28"/>
          <w:szCs w:val="28"/>
        </w:rPr>
        <w:instrText>heading</w:instrText>
      </w:r>
      <w:r w:rsidR="00030A4E" w:rsidRPr="00FC55DB">
        <w:rPr>
          <w:b/>
          <w:bCs/>
          <w:sz w:val="28"/>
          <w:szCs w:val="28"/>
          <w:lang w:val="ru-RU"/>
        </w:rPr>
        <w:instrText xml:space="preserve"> 1, 1,</w:instrText>
      </w:r>
      <w:r w:rsidR="00030A4E">
        <w:rPr>
          <w:b/>
          <w:bCs/>
          <w:sz w:val="28"/>
          <w:szCs w:val="28"/>
        </w:rPr>
        <w:instrText>heading</w:instrText>
      </w:r>
      <w:r w:rsidR="00030A4E" w:rsidRPr="00FC55DB">
        <w:rPr>
          <w:b/>
          <w:bCs/>
          <w:sz w:val="28"/>
          <w:szCs w:val="28"/>
          <w:lang w:val="ru-RU"/>
        </w:rPr>
        <w:instrText xml:space="preserve"> 2, 2"</w:instrText>
      </w:r>
      <w:r>
        <w:rPr>
          <w:b/>
          <w:bCs/>
          <w:sz w:val="28"/>
          <w:szCs w:val="28"/>
        </w:rPr>
        <w:fldChar w:fldCharType="separate"/>
      </w:r>
    </w:p>
    <w:p w:rsidR="003C0557" w:rsidRPr="00FC55DB" w:rsidRDefault="00030A4E">
      <w:pPr>
        <w:pStyle w:val="10"/>
        <w:rPr>
          <w:noProof/>
          <w:lang w:val="ru-RU"/>
        </w:rPr>
      </w:pPr>
      <w:r w:rsidRPr="00FC55DB">
        <w:rPr>
          <w:rFonts w:eastAsia="Arial Unicode MS" w:cs="Arial Unicode MS"/>
          <w:noProof/>
          <w:lang w:val="ru-RU"/>
        </w:rPr>
        <w:t>ВСТУП</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 xml:space="preserve">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3</w:t>
      </w:r>
      <w:r w:rsidR="007C1246">
        <w:rPr>
          <w:noProof/>
        </w:rPr>
        <w:fldChar w:fldCharType="end"/>
      </w:r>
    </w:p>
    <w:p w:rsidR="003C0557" w:rsidRPr="00FC55DB" w:rsidRDefault="00030A4E">
      <w:pPr>
        <w:pStyle w:val="10"/>
        <w:rPr>
          <w:noProof/>
          <w:lang w:val="ru-RU"/>
        </w:rPr>
      </w:pPr>
      <w:r w:rsidRPr="00FC55DB">
        <w:rPr>
          <w:rFonts w:eastAsia="Arial Unicode MS" w:cs="Arial Unicode MS"/>
          <w:noProof/>
          <w:lang w:val="ru-RU"/>
        </w:rPr>
        <w:t>РОЗДІЛ 1. ГЕНЕТИЧНІ ДЕТЕРМІНАНТИ ЖИРОВОГО ОБМІНУ ТА ЇХ РОЛЬ У РЕГУЛЯЦІЇ МАСИ ТІЛА</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1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6</w:t>
      </w:r>
      <w:r w:rsidR="007C1246">
        <w:rPr>
          <w:noProof/>
        </w:rPr>
        <w:fldChar w:fldCharType="end"/>
      </w:r>
    </w:p>
    <w:p w:rsidR="003C0557" w:rsidRPr="00FC55DB" w:rsidRDefault="00030A4E">
      <w:pPr>
        <w:pStyle w:val="20"/>
        <w:rPr>
          <w:noProof/>
          <w:lang w:val="ru-RU"/>
        </w:rPr>
      </w:pPr>
      <w:r w:rsidRPr="00FC55DB">
        <w:rPr>
          <w:rFonts w:eastAsia="Arial Unicode MS" w:cs="Arial Unicode MS"/>
          <w:noProof/>
          <w:lang w:val="ru-RU"/>
        </w:rPr>
        <w:t>1.1. Молекулярно-генетичні механізми жирового обміну</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2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6</w:t>
      </w:r>
      <w:r w:rsidR="007C1246">
        <w:rPr>
          <w:noProof/>
        </w:rPr>
        <w:fldChar w:fldCharType="end"/>
      </w:r>
    </w:p>
    <w:p w:rsidR="003C0557" w:rsidRPr="00FC55DB" w:rsidRDefault="00030A4E">
      <w:pPr>
        <w:pStyle w:val="20"/>
        <w:rPr>
          <w:noProof/>
          <w:lang w:val="ru-RU"/>
        </w:rPr>
      </w:pPr>
      <w:r w:rsidRPr="00FC55DB">
        <w:rPr>
          <w:rFonts w:eastAsia="Arial Unicode MS" w:cs="Arial Unicode MS"/>
          <w:noProof/>
          <w:lang w:val="ru-RU"/>
        </w:rPr>
        <w:t>1.2. Поліморфізми генів, асоційовані з жировим обміном</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3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13</w:t>
      </w:r>
      <w:r w:rsidR="007C1246">
        <w:rPr>
          <w:noProof/>
        </w:rPr>
        <w:fldChar w:fldCharType="end"/>
      </w:r>
    </w:p>
    <w:p w:rsidR="003C0557" w:rsidRPr="00FC55DB" w:rsidRDefault="00030A4E">
      <w:pPr>
        <w:pStyle w:val="20"/>
        <w:rPr>
          <w:noProof/>
          <w:lang w:val="ru-RU"/>
        </w:rPr>
      </w:pPr>
      <w:r w:rsidRPr="00FC55DB">
        <w:rPr>
          <w:rFonts w:eastAsia="Arial Unicode MS" w:cs="Arial Unicode MS"/>
          <w:noProof/>
          <w:lang w:val="ru-RU"/>
        </w:rPr>
        <w:t>1.3. Вплив фізичних навантажень на експресію генів жирового обміну</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4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2</w:t>
      </w:r>
      <w:r w:rsidR="00755B86">
        <w:rPr>
          <w:noProof/>
          <w:lang w:val="ru-RU"/>
        </w:rPr>
        <w:t>7</w:t>
      </w:r>
      <w:r w:rsidR="007C1246">
        <w:rPr>
          <w:noProof/>
        </w:rPr>
        <w:fldChar w:fldCharType="end"/>
      </w:r>
    </w:p>
    <w:p w:rsidR="003C0557" w:rsidRPr="00FC55DB" w:rsidRDefault="00030A4E">
      <w:pPr>
        <w:pStyle w:val="20"/>
        <w:rPr>
          <w:noProof/>
          <w:lang w:val="ru-RU"/>
        </w:rPr>
      </w:pPr>
      <w:r w:rsidRPr="00FC55DB">
        <w:rPr>
          <w:rFonts w:eastAsia="Arial Unicode MS" w:cs="Arial Unicode MS"/>
          <w:noProof/>
          <w:lang w:val="ru-RU"/>
        </w:rPr>
        <w:t>1.4. Персоналізований підхід до корекції маси тіла на основі генетичного профілю</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5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3</w:t>
      </w:r>
      <w:r w:rsidR="00755B86">
        <w:rPr>
          <w:noProof/>
          <w:lang w:val="ru-RU"/>
        </w:rPr>
        <w:t>1</w:t>
      </w:r>
      <w:r w:rsidR="007C1246">
        <w:rPr>
          <w:noProof/>
        </w:rPr>
        <w:fldChar w:fldCharType="end"/>
      </w:r>
    </w:p>
    <w:p w:rsidR="003C0557" w:rsidRPr="00FC55DB" w:rsidRDefault="00030A4E">
      <w:pPr>
        <w:pStyle w:val="20"/>
        <w:rPr>
          <w:noProof/>
          <w:lang w:val="ru-RU"/>
        </w:rPr>
      </w:pPr>
      <w:r w:rsidRPr="00FC55DB">
        <w:rPr>
          <w:rFonts w:eastAsia="Arial Unicode MS" w:cs="Arial Unicode MS"/>
          <w:noProof/>
          <w:lang w:val="ru-RU"/>
        </w:rPr>
        <w:t>Висновки до розділу 1</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6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3</w:t>
      </w:r>
      <w:r w:rsidR="00755B86">
        <w:rPr>
          <w:noProof/>
          <w:lang w:val="ru-RU"/>
        </w:rPr>
        <w:t>4</w:t>
      </w:r>
      <w:r w:rsidR="007C1246">
        <w:rPr>
          <w:noProof/>
        </w:rPr>
        <w:fldChar w:fldCharType="end"/>
      </w:r>
    </w:p>
    <w:p w:rsidR="003C0557" w:rsidRPr="00FC55DB" w:rsidRDefault="00030A4E">
      <w:pPr>
        <w:pStyle w:val="10"/>
        <w:rPr>
          <w:noProof/>
          <w:lang w:val="ru-RU"/>
        </w:rPr>
      </w:pPr>
      <w:r w:rsidRPr="00FC55DB">
        <w:rPr>
          <w:rFonts w:eastAsia="Arial Unicode MS" w:cs="Arial Unicode MS"/>
          <w:noProof/>
          <w:lang w:val="ru-RU"/>
        </w:rPr>
        <w:t>РОЗДІЛ 2. МЕТОДИ ТА ОРГАНІЗАЦІЯ ДОСЛІДЖЕНЬ</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7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3</w:t>
      </w:r>
      <w:r w:rsidR="00755B86">
        <w:rPr>
          <w:noProof/>
          <w:lang w:val="ru-RU"/>
        </w:rPr>
        <w:t>5</w:t>
      </w:r>
      <w:r w:rsidR="007C1246">
        <w:rPr>
          <w:noProof/>
        </w:rPr>
        <w:fldChar w:fldCharType="end"/>
      </w:r>
    </w:p>
    <w:p w:rsidR="003C0557" w:rsidRPr="00FC55DB" w:rsidRDefault="00030A4E">
      <w:pPr>
        <w:pStyle w:val="20"/>
        <w:rPr>
          <w:noProof/>
          <w:lang w:val="ru-RU"/>
        </w:rPr>
      </w:pPr>
      <w:r w:rsidRPr="00FC55DB">
        <w:rPr>
          <w:rFonts w:eastAsia="Arial Unicode MS" w:cs="Arial Unicode MS"/>
          <w:noProof/>
          <w:lang w:val="ru-RU"/>
        </w:rPr>
        <w:t>2.1. Матеріал і методи досліджень</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8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3</w:t>
      </w:r>
      <w:r w:rsidR="00755B86">
        <w:rPr>
          <w:noProof/>
          <w:lang w:val="ru-RU"/>
        </w:rPr>
        <w:t>5</w:t>
      </w:r>
      <w:r w:rsidR="007C1246">
        <w:rPr>
          <w:noProof/>
        </w:rPr>
        <w:fldChar w:fldCharType="end"/>
      </w:r>
    </w:p>
    <w:p w:rsidR="003C0557" w:rsidRPr="00FC55DB" w:rsidRDefault="00030A4E">
      <w:pPr>
        <w:pStyle w:val="20"/>
        <w:rPr>
          <w:noProof/>
          <w:lang w:val="ru-RU"/>
        </w:rPr>
      </w:pPr>
      <w:r w:rsidRPr="00FC55DB">
        <w:rPr>
          <w:rFonts w:eastAsia="Arial Unicode MS" w:cs="Arial Unicode MS"/>
          <w:noProof/>
          <w:lang w:val="ru-RU"/>
        </w:rPr>
        <w:t>2.2. Організація досліджень</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9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3</w:t>
      </w:r>
      <w:r w:rsidR="00755B86">
        <w:rPr>
          <w:noProof/>
          <w:lang w:val="ru-RU"/>
        </w:rPr>
        <w:t>7</w:t>
      </w:r>
      <w:r w:rsidR="007C1246">
        <w:rPr>
          <w:noProof/>
        </w:rPr>
        <w:fldChar w:fldCharType="end"/>
      </w:r>
    </w:p>
    <w:p w:rsidR="003C0557" w:rsidRPr="00755B86" w:rsidRDefault="00030A4E">
      <w:pPr>
        <w:pStyle w:val="10"/>
        <w:rPr>
          <w:noProof/>
          <w:lang w:val="uk-UA"/>
        </w:rPr>
      </w:pPr>
      <w:r w:rsidRPr="00FC55DB">
        <w:rPr>
          <w:rFonts w:eastAsia="Arial Unicode MS" w:cs="Arial Unicode MS"/>
          <w:noProof/>
          <w:lang w:val="ru-RU"/>
        </w:rPr>
        <w:t>РОЗДІЛ 3. РЕЗУЛЬТАТИ ВЛАСНИХ ДОСЛІДЖЕНЬ ТА ЇХ ОБГОВОРЕННЯ</w:t>
      </w:r>
      <w:r w:rsidRPr="00FC55DB">
        <w:rPr>
          <w:rFonts w:eastAsia="Arial Unicode MS" w:cs="Arial Unicode MS"/>
          <w:noProof/>
          <w:lang w:val="ru-RU"/>
        </w:rPr>
        <w:tab/>
      </w:r>
      <w:r w:rsidR="00755B86">
        <w:rPr>
          <w:noProof/>
          <w:lang w:val="uk-UA"/>
        </w:rPr>
        <w:t>39</w:t>
      </w:r>
    </w:p>
    <w:p w:rsidR="003C0557" w:rsidRPr="00755B86" w:rsidRDefault="00030A4E">
      <w:pPr>
        <w:pStyle w:val="20"/>
        <w:rPr>
          <w:noProof/>
          <w:lang w:val="uk-UA"/>
        </w:rPr>
      </w:pPr>
      <w:r w:rsidRPr="00755B86">
        <w:rPr>
          <w:rFonts w:eastAsia="Arial Unicode MS" w:cs="Arial Unicode MS"/>
          <w:noProof/>
          <w:lang w:val="uk-UA"/>
        </w:rPr>
        <w:t>3.1. Особливсті впливу поліморфізмів</w:t>
      </w:r>
      <w:r w:rsidRPr="00755B86">
        <w:rPr>
          <w:rFonts w:eastAsia="Arial Unicode MS" w:cs="Arial Unicode MS"/>
          <w:noProof/>
          <w:lang w:val="uk-UA"/>
        </w:rPr>
        <w:tab/>
      </w:r>
      <w:r w:rsidR="00755B86">
        <w:rPr>
          <w:noProof/>
          <w:lang w:val="uk-UA"/>
        </w:rPr>
        <w:t>39</w:t>
      </w:r>
    </w:p>
    <w:p w:rsidR="003C0557" w:rsidRPr="00755B86" w:rsidRDefault="00030A4E">
      <w:pPr>
        <w:pStyle w:val="20"/>
        <w:rPr>
          <w:noProof/>
          <w:lang w:val="uk-UA"/>
        </w:rPr>
      </w:pPr>
      <w:r w:rsidRPr="00755B86">
        <w:rPr>
          <w:rFonts w:eastAsia="Arial Unicode MS" w:cs="Arial Unicode MS"/>
          <w:noProof/>
          <w:lang w:val="uk-UA"/>
        </w:rPr>
        <w:t>3.2. Аналіз ефективності зниження маси тіла у носіїв різних варіантів генів жирового обміну</w:t>
      </w:r>
      <w:r w:rsidRPr="00755B86">
        <w:rPr>
          <w:rFonts w:eastAsia="Arial Unicode MS" w:cs="Arial Unicode MS"/>
          <w:noProof/>
          <w:lang w:val="uk-UA"/>
        </w:rPr>
        <w:tab/>
      </w:r>
      <w:r w:rsidR="00755B86">
        <w:rPr>
          <w:noProof/>
          <w:lang w:val="uk-UA"/>
        </w:rPr>
        <w:t>48</w:t>
      </w:r>
    </w:p>
    <w:p w:rsidR="003C0557" w:rsidRPr="00FC55DB" w:rsidRDefault="00030A4E">
      <w:pPr>
        <w:pStyle w:val="20"/>
        <w:rPr>
          <w:noProof/>
          <w:lang w:val="ru-RU"/>
        </w:rPr>
      </w:pPr>
      <w:r w:rsidRPr="00FC55DB">
        <w:rPr>
          <w:rFonts w:eastAsia="Arial Unicode MS" w:cs="Arial Unicode MS"/>
          <w:noProof/>
          <w:lang w:val="ru-RU"/>
        </w:rPr>
        <w:t>3.3. Особливості метаболічних показників при різних генотипах в умовах фізичних навантажень</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13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5</w:t>
      </w:r>
      <w:r w:rsidR="00755B86">
        <w:rPr>
          <w:noProof/>
          <w:lang w:val="ru-RU"/>
        </w:rPr>
        <w:t>1</w:t>
      </w:r>
      <w:r w:rsidR="007C1246">
        <w:rPr>
          <w:noProof/>
        </w:rPr>
        <w:fldChar w:fldCharType="end"/>
      </w:r>
    </w:p>
    <w:p w:rsidR="003C0557" w:rsidRPr="00FC55DB" w:rsidRDefault="00030A4E">
      <w:pPr>
        <w:pStyle w:val="20"/>
        <w:rPr>
          <w:noProof/>
          <w:lang w:val="ru-RU"/>
        </w:rPr>
      </w:pPr>
      <w:r w:rsidRPr="00FC55DB">
        <w:rPr>
          <w:rFonts w:eastAsia="Arial Unicode MS" w:cs="Arial Unicode MS"/>
          <w:noProof/>
          <w:lang w:val="ru-RU"/>
        </w:rPr>
        <w:t>3.4. Практичні аспекти персоналізації програм зниження маси тіла</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14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5</w:t>
      </w:r>
      <w:r w:rsidR="00755B86">
        <w:rPr>
          <w:noProof/>
          <w:lang w:val="ru-RU"/>
        </w:rPr>
        <w:t>3</w:t>
      </w:r>
      <w:r w:rsidR="007C1246">
        <w:rPr>
          <w:noProof/>
        </w:rPr>
        <w:fldChar w:fldCharType="end"/>
      </w:r>
    </w:p>
    <w:p w:rsidR="003C0557" w:rsidRPr="00FC55DB" w:rsidRDefault="00030A4E">
      <w:pPr>
        <w:pStyle w:val="20"/>
        <w:rPr>
          <w:noProof/>
          <w:lang w:val="ru-RU"/>
        </w:rPr>
      </w:pPr>
      <w:r w:rsidRPr="00FC55DB">
        <w:rPr>
          <w:rFonts w:eastAsia="Arial Unicode MS" w:cs="Arial Unicode MS"/>
          <w:noProof/>
          <w:lang w:val="ru-RU"/>
        </w:rPr>
        <w:t>Висновки до розділу 3</w:t>
      </w:r>
      <w:r w:rsidRPr="00FC55DB">
        <w:rPr>
          <w:rFonts w:eastAsia="Arial Unicode MS" w:cs="Arial Unicode MS"/>
          <w:noProof/>
          <w:lang w:val="ru-RU"/>
        </w:rPr>
        <w:tab/>
      </w:r>
      <w:r w:rsidR="007B28A0">
        <w:rPr>
          <w:rFonts w:eastAsia="Arial Unicode MS" w:cs="Arial Unicode MS"/>
          <w:noProof/>
          <w:lang w:val="ru-RU"/>
        </w:rPr>
        <w:t xml:space="preserve">  </w:t>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15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5</w:t>
      </w:r>
      <w:r w:rsidR="00755B86">
        <w:rPr>
          <w:noProof/>
          <w:lang w:val="ru-RU"/>
        </w:rPr>
        <w:t>4</w:t>
      </w:r>
      <w:r w:rsidR="007C1246">
        <w:rPr>
          <w:noProof/>
        </w:rPr>
        <w:fldChar w:fldCharType="end"/>
      </w:r>
    </w:p>
    <w:p w:rsidR="003C0557" w:rsidRPr="00FC55DB" w:rsidRDefault="00030A4E">
      <w:pPr>
        <w:pStyle w:val="10"/>
        <w:rPr>
          <w:noProof/>
          <w:lang w:val="ru-RU"/>
        </w:rPr>
      </w:pPr>
      <w:r w:rsidRPr="00FC55DB">
        <w:rPr>
          <w:rFonts w:eastAsia="Arial Unicode MS" w:cs="Arial Unicode MS"/>
          <w:noProof/>
          <w:lang w:val="ru-RU"/>
        </w:rPr>
        <w:t>РОЗДІЛ 4. РЕКОМЕНДАЦІЇ</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16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5</w:t>
      </w:r>
      <w:r w:rsidR="00755B86">
        <w:rPr>
          <w:noProof/>
          <w:lang w:val="ru-RU"/>
        </w:rPr>
        <w:t>6</w:t>
      </w:r>
      <w:r w:rsidR="007C1246">
        <w:rPr>
          <w:noProof/>
        </w:rPr>
        <w:fldChar w:fldCharType="end"/>
      </w:r>
    </w:p>
    <w:p w:rsidR="003C0557" w:rsidRPr="00755B86" w:rsidRDefault="00030A4E">
      <w:pPr>
        <w:pStyle w:val="10"/>
        <w:rPr>
          <w:noProof/>
          <w:lang w:val="uk-UA"/>
        </w:rPr>
      </w:pPr>
      <w:r w:rsidRPr="00FC55DB">
        <w:rPr>
          <w:rFonts w:eastAsia="Arial Unicode MS" w:cs="Arial Unicode MS"/>
          <w:noProof/>
          <w:lang w:val="ru-RU"/>
        </w:rPr>
        <w:t>ВИСНОВКИ</w:t>
      </w:r>
      <w:r w:rsidRPr="00FC55DB">
        <w:rPr>
          <w:rFonts w:eastAsia="Arial Unicode MS" w:cs="Arial Unicode MS"/>
          <w:noProof/>
          <w:lang w:val="ru-RU"/>
        </w:rPr>
        <w:tab/>
      </w:r>
      <w:r w:rsidR="00755B86">
        <w:rPr>
          <w:noProof/>
          <w:lang w:val="uk-UA"/>
        </w:rPr>
        <w:t>59</w:t>
      </w:r>
    </w:p>
    <w:p w:rsidR="003C0557" w:rsidRPr="00FC55DB" w:rsidRDefault="00030A4E">
      <w:pPr>
        <w:pStyle w:val="10"/>
        <w:rPr>
          <w:noProof/>
          <w:lang w:val="ru-RU"/>
        </w:rPr>
      </w:pPr>
      <w:r w:rsidRPr="00FC55DB">
        <w:rPr>
          <w:rFonts w:eastAsia="Arial Unicode MS" w:cs="Arial Unicode MS"/>
          <w:noProof/>
          <w:lang w:val="ru-RU"/>
        </w:rPr>
        <w:t>СПИСОК ВИКОРИСТАНИХ ДЖЕРЕЛ</w:t>
      </w:r>
      <w:r w:rsidRPr="00FC55DB">
        <w:rPr>
          <w:rFonts w:eastAsia="Arial Unicode MS" w:cs="Arial Unicode MS"/>
          <w:noProof/>
          <w:lang w:val="ru-RU"/>
        </w:rPr>
        <w:tab/>
      </w:r>
      <w:r w:rsidR="007C1246">
        <w:rPr>
          <w:noProof/>
        </w:rPr>
        <w:fldChar w:fldCharType="begin"/>
      </w:r>
      <w:r w:rsidRPr="00FC55DB">
        <w:rPr>
          <w:noProof/>
          <w:lang w:val="ru-RU"/>
        </w:rPr>
        <w:instrText xml:space="preserve"> </w:instrText>
      </w:r>
      <w:r>
        <w:rPr>
          <w:noProof/>
        </w:rPr>
        <w:instrText>PAGEREF</w:instrText>
      </w:r>
      <w:r w:rsidRPr="00FC55DB">
        <w:rPr>
          <w:noProof/>
          <w:lang w:val="ru-RU"/>
        </w:rPr>
        <w:instrText xml:space="preserve"> _</w:instrText>
      </w:r>
      <w:r>
        <w:rPr>
          <w:noProof/>
        </w:rPr>
        <w:instrText>Toc</w:instrText>
      </w:r>
      <w:r w:rsidRPr="00FC55DB">
        <w:rPr>
          <w:noProof/>
          <w:lang w:val="ru-RU"/>
        </w:rPr>
        <w:instrText>18 \</w:instrText>
      </w:r>
      <w:r>
        <w:rPr>
          <w:noProof/>
        </w:rPr>
        <w:instrText>h</w:instrText>
      </w:r>
      <w:r w:rsidRPr="00FC55DB">
        <w:rPr>
          <w:noProof/>
          <w:lang w:val="ru-RU"/>
        </w:rPr>
        <w:instrText xml:space="preserve"> </w:instrText>
      </w:r>
      <w:r w:rsidR="007C1246">
        <w:rPr>
          <w:noProof/>
        </w:rPr>
      </w:r>
      <w:r w:rsidR="007C1246">
        <w:rPr>
          <w:noProof/>
        </w:rPr>
        <w:fldChar w:fldCharType="separate"/>
      </w:r>
      <w:r w:rsidR="00755B86" w:rsidRPr="00755B86">
        <w:rPr>
          <w:noProof/>
          <w:lang w:val="ru-RU"/>
        </w:rPr>
        <w:t>6</w:t>
      </w:r>
      <w:r w:rsidR="00755B86">
        <w:rPr>
          <w:noProof/>
          <w:lang w:val="ru-RU"/>
        </w:rPr>
        <w:t>1</w:t>
      </w:r>
      <w:r w:rsidR="007C1246">
        <w:rPr>
          <w:noProof/>
        </w:rPr>
        <w:fldChar w:fldCharType="end"/>
      </w:r>
    </w:p>
    <w:p w:rsidR="003C0557" w:rsidRPr="00FC55DB" w:rsidRDefault="007C1246">
      <w:pPr>
        <w:rPr>
          <w:sz w:val="28"/>
          <w:szCs w:val="28"/>
          <w:lang w:val="ru-RU"/>
        </w:rPr>
      </w:pPr>
      <w:r>
        <w:rPr>
          <w:b/>
          <w:bCs/>
          <w:sz w:val="28"/>
          <w:szCs w:val="28"/>
        </w:rPr>
        <w:fldChar w:fldCharType="end"/>
      </w:r>
    </w:p>
    <w:p w:rsidR="003C0557" w:rsidRPr="007B28A0" w:rsidRDefault="00030A4E">
      <w:pPr>
        <w:rPr>
          <w:lang w:val="uk-UA"/>
        </w:rPr>
      </w:pPr>
      <w:r w:rsidRPr="00FC55DB">
        <w:rPr>
          <w:rFonts w:ascii="Arial Unicode MS" w:eastAsia="Arial Unicode MS" w:hAnsi="Arial Unicode MS" w:cs="Arial Unicode MS"/>
          <w:lang w:val="ru-RU"/>
        </w:rPr>
        <w:br w:type="page"/>
      </w:r>
      <w:bookmarkStart w:id="0" w:name="_GoBack"/>
      <w:bookmarkEnd w:id="0"/>
    </w:p>
    <w:p w:rsidR="003C0557" w:rsidRDefault="00030A4E">
      <w:pPr>
        <w:pStyle w:val="1"/>
      </w:pPr>
      <w:bookmarkStart w:id="1" w:name="_Toc"/>
      <w:r>
        <w:rPr>
          <w:rFonts w:eastAsia="Arial Unicode MS" w:cs="Arial Unicode MS"/>
        </w:rPr>
        <w:lastRenderedPageBreak/>
        <w:t>ВСТУП</w:t>
      </w:r>
      <w:bookmarkEnd w:id="1"/>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b/>
          <w:bCs/>
          <w:sz w:val="28"/>
          <w:szCs w:val="28"/>
        </w:rPr>
        <w:t xml:space="preserve">Актуальність теми. </w:t>
      </w:r>
      <w:r>
        <w:rPr>
          <w:rFonts w:ascii="Times New Roman" w:hAnsi="Times New Roman"/>
          <w:sz w:val="28"/>
          <w:szCs w:val="28"/>
        </w:rPr>
        <w:t xml:space="preserve">Проблема надлишкової маси тіла та ожиріння набула глобального масштабу, оскільки, за даними Всесвітньої організації охорони здоров’я, поширеність ожиріння протягом останніх десятиліть продовжує зростати у геометричній прогресії. На сьогодні понад </w:t>
      </w:r>
      <w:r>
        <w:rPr>
          <w:rFonts w:ascii="Times New Roman" w:hAnsi="Times New Roman"/>
          <w:sz w:val="28"/>
          <w:szCs w:val="28"/>
          <w:lang w:val="ru-RU"/>
        </w:rPr>
        <w:t xml:space="preserve">1 </w:t>
      </w:r>
      <w:r>
        <w:rPr>
          <w:rFonts w:ascii="Times New Roman" w:hAnsi="Times New Roman"/>
          <w:sz w:val="28"/>
          <w:szCs w:val="28"/>
        </w:rPr>
        <w:t>млрд людей у світі мають ожиріння, а ще понад 2 млрд — надлишкову масу тіла. Надмірна вага асоціюється з підвищеним ризиком розвитку серцево-судинних, ендокринних та неврологічних захворювань, що суттєво погіршує якість і тривалість життя.</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Традиційні підходи до корекції маси тіла, зокрема дієтотерапія та фізичні навантаження, демонструють значну індивідуальну варіабельність ефективності. Наприклад, сучасні дослідження показують, що до 30–40 % людей не реагують на стандартні програми зниження ваги, навіть за дотримання рекомендацій. Це зумовлює необхідність пошуку нових підходів, які враховують індивідуальні біологічні особливості організму.</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Сучасні молекулярно-генетичні дослідження довели, що регуляція жирового обміну має складну полігенну природу. Станом на </w:t>
      </w:r>
      <w:r w:rsidRPr="00FC55DB">
        <w:rPr>
          <w:rFonts w:ascii="Times New Roman" w:hAnsi="Times New Roman"/>
          <w:sz w:val="28"/>
          <w:szCs w:val="28"/>
          <w:lang w:val="ru-RU"/>
        </w:rPr>
        <w:t>2024</w:t>
      </w:r>
      <w:r>
        <w:rPr>
          <w:rFonts w:ascii="Times New Roman" w:hAnsi="Times New Roman"/>
          <w:sz w:val="28"/>
          <w:szCs w:val="28"/>
        </w:rPr>
        <w:t xml:space="preserve">–2025 роки відомо понад 900 генів і генетичних локусів, асоційованих із ризиком розвитку ожиріння (за даними GWAS-консорціумів). Особливо значущими вважають поліморфізми генів </w:t>
      </w:r>
      <w:r>
        <w:rPr>
          <w:rFonts w:ascii="Times New Roman" w:hAnsi="Times New Roman"/>
          <w:sz w:val="28"/>
          <w:szCs w:val="28"/>
          <w:lang w:val="de-DE"/>
        </w:rPr>
        <w:t xml:space="preserve">FTO, LEP, LEPR, ADRB2, ADRB3, PPARG, MC4R, UCP1, </w:t>
      </w:r>
      <w:r>
        <w:rPr>
          <w:rFonts w:ascii="Times New Roman" w:hAnsi="Times New Roman"/>
          <w:sz w:val="28"/>
          <w:szCs w:val="28"/>
        </w:rPr>
        <w:t>кожен із яких впливає на регуляцію апетиту, ліполіз, термогенез, чутливість до інсуліну та реакцію організму на фізичні навантаження.</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Так, варіант </w:t>
      </w:r>
      <w:r>
        <w:rPr>
          <w:rFonts w:ascii="Times New Roman" w:hAnsi="Times New Roman"/>
          <w:sz w:val="28"/>
          <w:szCs w:val="28"/>
          <w:lang w:val="pt-PT"/>
        </w:rPr>
        <w:t xml:space="preserve">FTO rs9939609 </w:t>
      </w:r>
      <w:r>
        <w:rPr>
          <w:rFonts w:ascii="Times New Roman" w:hAnsi="Times New Roman"/>
          <w:sz w:val="28"/>
          <w:szCs w:val="28"/>
        </w:rPr>
        <w:t xml:space="preserve">асоціюють із підвищеним індексом маси тіла та збільшеним ризиком ожиріння приблизно на 20–30 %; поліморфізм LEPR rs1137101 — із порушенням чутливості до лептину; варіант </w:t>
      </w:r>
      <w:r>
        <w:rPr>
          <w:rFonts w:ascii="Times New Roman" w:hAnsi="Times New Roman"/>
          <w:sz w:val="28"/>
          <w:szCs w:val="28"/>
          <w:lang w:val="en-US"/>
        </w:rPr>
        <w:t>ADRB</w:t>
      </w:r>
      <w:r w:rsidRPr="00FC55DB">
        <w:rPr>
          <w:rFonts w:ascii="Times New Roman" w:hAnsi="Times New Roman"/>
          <w:sz w:val="28"/>
          <w:szCs w:val="28"/>
        </w:rPr>
        <w:t xml:space="preserve">2 </w:t>
      </w:r>
      <w:r>
        <w:rPr>
          <w:rFonts w:ascii="Times New Roman" w:hAnsi="Times New Roman"/>
          <w:sz w:val="28"/>
          <w:szCs w:val="28"/>
          <w:lang w:val="en-US"/>
        </w:rPr>
        <w:t>Arg</w:t>
      </w:r>
      <w:r w:rsidRPr="00FC55DB">
        <w:rPr>
          <w:rFonts w:ascii="Times New Roman" w:hAnsi="Times New Roman"/>
          <w:sz w:val="28"/>
          <w:szCs w:val="28"/>
        </w:rPr>
        <w:t>16</w:t>
      </w:r>
      <w:r>
        <w:rPr>
          <w:rFonts w:ascii="Times New Roman" w:hAnsi="Times New Roman"/>
          <w:sz w:val="28"/>
          <w:szCs w:val="28"/>
          <w:lang w:val="en-US"/>
        </w:rPr>
        <w:t>Gly</w:t>
      </w:r>
      <w:r w:rsidRPr="00FC55DB">
        <w:rPr>
          <w:rFonts w:ascii="Times New Roman" w:hAnsi="Times New Roman"/>
          <w:sz w:val="28"/>
          <w:szCs w:val="28"/>
        </w:rPr>
        <w:t xml:space="preserve"> </w:t>
      </w:r>
      <w:r>
        <w:rPr>
          <w:rFonts w:ascii="Times New Roman" w:hAnsi="Times New Roman"/>
          <w:sz w:val="28"/>
          <w:szCs w:val="28"/>
        </w:rPr>
        <w:t xml:space="preserve">— із відмінностями у швидкості ліполізу; а </w:t>
      </w:r>
      <w:r>
        <w:rPr>
          <w:rFonts w:ascii="Times New Roman" w:hAnsi="Times New Roman"/>
          <w:sz w:val="28"/>
          <w:szCs w:val="28"/>
          <w:lang w:val="es-ES_tradnl"/>
        </w:rPr>
        <w:t xml:space="preserve">PPARG Pro12Ala </w:t>
      </w:r>
      <w:r>
        <w:rPr>
          <w:rFonts w:ascii="Times New Roman" w:hAnsi="Times New Roman"/>
          <w:sz w:val="28"/>
          <w:szCs w:val="28"/>
        </w:rPr>
        <w:t>визначає реакцію організму на жирові компоненти дієти.</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Усе це підкреслює актуальність інтеграції генетичних даних у практику профілактики та лікування ожиріння та формує основу нового напряму — персоналізованої медицини.</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lastRenderedPageBreak/>
        <w:t>Отже, вивчення генетичних детермінант жирового обміну та їхнього практичного значення у корекції маси тіла є одним із ключових завдань сучасної біомедицини, дієтології та спортивної медицини.</w:t>
      </w:r>
    </w:p>
    <w:p w:rsidR="003C0557" w:rsidRDefault="00030A4E">
      <w:pPr>
        <w:pStyle w:val="Default"/>
        <w:spacing w:before="0" w:line="360" w:lineRule="auto"/>
        <w:ind w:firstLine="720"/>
        <w:jc w:val="both"/>
        <w:rPr>
          <w:rFonts w:ascii="Times New Roman" w:eastAsia="Times New Roman" w:hAnsi="Times New Roman" w:cs="Times New Roman"/>
          <w:b/>
          <w:bCs/>
          <w:sz w:val="28"/>
          <w:szCs w:val="28"/>
        </w:rPr>
      </w:pPr>
      <w:r>
        <w:rPr>
          <w:rFonts w:ascii="Times New Roman" w:hAnsi="Times New Roman"/>
          <w:b/>
          <w:bCs/>
          <w:sz w:val="28"/>
          <w:szCs w:val="28"/>
        </w:rPr>
        <w:t xml:space="preserve">Мета дослідження. </w:t>
      </w:r>
      <w:r>
        <w:rPr>
          <w:rFonts w:ascii="Times New Roman" w:hAnsi="Times New Roman"/>
          <w:sz w:val="28"/>
          <w:szCs w:val="28"/>
        </w:rPr>
        <w:t>З’ясувати роль генетичних детермінант жирового обміну в регуляції маси тіла та визначити особливості персоналізованого підходу до її корекції на основі генетичного профілю.</w:t>
      </w:r>
    </w:p>
    <w:p w:rsidR="003C0557" w:rsidRDefault="00030A4E">
      <w:pPr>
        <w:pStyle w:val="Default"/>
        <w:spacing w:before="0" w:line="360" w:lineRule="auto"/>
        <w:ind w:firstLine="720"/>
        <w:jc w:val="both"/>
        <w:rPr>
          <w:rFonts w:ascii="Times New Roman" w:eastAsia="Times New Roman" w:hAnsi="Times New Roman" w:cs="Times New Roman"/>
          <w:b/>
          <w:bCs/>
          <w:sz w:val="28"/>
          <w:szCs w:val="28"/>
        </w:rPr>
      </w:pPr>
      <w:r>
        <w:rPr>
          <w:rFonts w:ascii="Times New Roman" w:hAnsi="Times New Roman"/>
          <w:b/>
          <w:bCs/>
          <w:sz w:val="28"/>
          <w:szCs w:val="28"/>
        </w:rPr>
        <w:t>Завдання дослідження</w:t>
      </w:r>
    </w:p>
    <w:p w:rsidR="003C0557" w:rsidRDefault="00030A4E">
      <w:pPr>
        <w:pStyle w:val="Default"/>
        <w:numPr>
          <w:ilvl w:val="0"/>
          <w:numId w:val="2"/>
        </w:numPr>
        <w:spacing w:before="0" w:line="360" w:lineRule="auto"/>
        <w:jc w:val="both"/>
        <w:rPr>
          <w:rFonts w:ascii="Times New Roman" w:hAnsi="Times New Roman"/>
          <w:sz w:val="28"/>
          <w:szCs w:val="28"/>
        </w:rPr>
      </w:pPr>
      <w:r>
        <w:rPr>
          <w:rFonts w:ascii="Times New Roman" w:hAnsi="Times New Roman"/>
          <w:sz w:val="28"/>
          <w:szCs w:val="28"/>
        </w:rPr>
        <w:t>Проаналізувати сучасні молекулярно-генетичні механізми регуляції жирового обміну.</w:t>
      </w:r>
    </w:p>
    <w:p w:rsidR="003C0557" w:rsidRDefault="00030A4E">
      <w:pPr>
        <w:pStyle w:val="Default"/>
        <w:numPr>
          <w:ilvl w:val="0"/>
          <w:numId w:val="2"/>
        </w:numPr>
        <w:spacing w:before="0" w:line="360" w:lineRule="auto"/>
        <w:jc w:val="both"/>
        <w:rPr>
          <w:rFonts w:ascii="Times New Roman" w:hAnsi="Times New Roman"/>
          <w:sz w:val="28"/>
          <w:szCs w:val="28"/>
        </w:rPr>
      </w:pPr>
      <w:r>
        <w:rPr>
          <w:rFonts w:ascii="Times New Roman" w:hAnsi="Times New Roman"/>
          <w:sz w:val="28"/>
          <w:szCs w:val="28"/>
        </w:rPr>
        <w:t>Охарактеризувати поліморфізми генів, асоційовані з метаболічними особливостями жирової тканини.</w:t>
      </w:r>
    </w:p>
    <w:p w:rsidR="003C0557" w:rsidRDefault="00030A4E">
      <w:pPr>
        <w:pStyle w:val="Default"/>
        <w:numPr>
          <w:ilvl w:val="0"/>
          <w:numId w:val="2"/>
        </w:numPr>
        <w:spacing w:before="0" w:line="360" w:lineRule="auto"/>
        <w:jc w:val="both"/>
        <w:rPr>
          <w:rFonts w:ascii="Times New Roman" w:hAnsi="Times New Roman"/>
          <w:sz w:val="28"/>
          <w:szCs w:val="28"/>
        </w:rPr>
      </w:pPr>
      <w:r>
        <w:rPr>
          <w:rFonts w:ascii="Times New Roman" w:hAnsi="Times New Roman"/>
          <w:sz w:val="28"/>
          <w:szCs w:val="28"/>
        </w:rPr>
        <w:t>Визначити вплив фізичних навантажень на експресію генів, залучених у ліпідний та енергетичний обмін.</w:t>
      </w:r>
    </w:p>
    <w:p w:rsidR="003C0557" w:rsidRDefault="00030A4E">
      <w:pPr>
        <w:pStyle w:val="Default"/>
        <w:numPr>
          <w:ilvl w:val="0"/>
          <w:numId w:val="2"/>
        </w:numPr>
        <w:spacing w:before="0" w:line="360" w:lineRule="auto"/>
        <w:jc w:val="both"/>
        <w:rPr>
          <w:rFonts w:ascii="Times New Roman" w:hAnsi="Times New Roman"/>
          <w:sz w:val="28"/>
          <w:szCs w:val="28"/>
        </w:rPr>
      </w:pPr>
      <w:r>
        <w:rPr>
          <w:rFonts w:ascii="Times New Roman" w:hAnsi="Times New Roman"/>
          <w:sz w:val="28"/>
          <w:szCs w:val="28"/>
        </w:rPr>
        <w:t xml:space="preserve">Дослідити ефективність програм зниження маси тіла залежно від генетичних варіантів </w:t>
      </w:r>
      <w:r>
        <w:rPr>
          <w:rFonts w:ascii="Times New Roman" w:hAnsi="Times New Roman"/>
          <w:sz w:val="28"/>
          <w:szCs w:val="28"/>
          <w:lang w:val="de-DE"/>
        </w:rPr>
        <w:t xml:space="preserve">(FTO, LEP/LEPR, ADRB2/3, PPARG </w:t>
      </w:r>
      <w:r>
        <w:rPr>
          <w:rFonts w:ascii="Times New Roman" w:hAnsi="Times New Roman"/>
          <w:sz w:val="28"/>
          <w:szCs w:val="28"/>
        </w:rPr>
        <w:t>тощо).</w:t>
      </w:r>
    </w:p>
    <w:p w:rsidR="003C0557" w:rsidRDefault="00030A4E">
      <w:pPr>
        <w:pStyle w:val="Default"/>
        <w:numPr>
          <w:ilvl w:val="0"/>
          <w:numId w:val="2"/>
        </w:numPr>
        <w:spacing w:before="0" w:line="360" w:lineRule="auto"/>
        <w:jc w:val="both"/>
        <w:rPr>
          <w:rFonts w:ascii="Times New Roman" w:hAnsi="Times New Roman"/>
          <w:sz w:val="28"/>
          <w:szCs w:val="28"/>
        </w:rPr>
      </w:pPr>
      <w:r>
        <w:rPr>
          <w:rFonts w:ascii="Times New Roman" w:hAnsi="Times New Roman"/>
          <w:sz w:val="28"/>
          <w:szCs w:val="28"/>
        </w:rPr>
        <w:t>Розробити практичні рекомендації щодо персоналізації заходів контролю маси тіла з урахуванням генетичного профілю.</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b/>
          <w:bCs/>
          <w:sz w:val="28"/>
          <w:szCs w:val="28"/>
        </w:rPr>
        <w:t>Об’єкт дослідження.</w:t>
      </w:r>
      <w:r>
        <w:rPr>
          <w:rFonts w:ascii="Times New Roman" w:hAnsi="Times New Roman"/>
          <w:sz w:val="28"/>
          <w:szCs w:val="28"/>
        </w:rPr>
        <w:t xml:space="preserve"> Процеси жирового обміну в організмі людини.</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b/>
          <w:bCs/>
          <w:sz w:val="28"/>
          <w:szCs w:val="28"/>
        </w:rPr>
        <w:t xml:space="preserve">Предмет дослідження. </w:t>
      </w:r>
      <w:r>
        <w:rPr>
          <w:rFonts w:ascii="Times New Roman" w:hAnsi="Times New Roman"/>
          <w:sz w:val="28"/>
          <w:szCs w:val="28"/>
        </w:rPr>
        <w:t>Генетичні детермінанти жирового обміну та їхній вплив на регуляцію маси тіла.</w:t>
      </w:r>
    </w:p>
    <w:p w:rsidR="003C0557" w:rsidRDefault="00030A4E">
      <w:pPr>
        <w:pStyle w:val="Default"/>
        <w:spacing w:before="0" w:line="360" w:lineRule="auto"/>
        <w:ind w:firstLine="720"/>
        <w:jc w:val="both"/>
        <w:rPr>
          <w:rFonts w:ascii="Times New Roman" w:eastAsia="Times New Roman" w:hAnsi="Times New Roman" w:cs="Times New Roman"/>
          <w:b/>
          <w:bCs/>
          <w:sz w:val="28"/>
          <w:szCs w:val="28"/>
        </w:rPr>
      </w:pPr>
      <w:r>
        <w:rPr>
          <w:rFonts w:ascii="Times New Roman" w:hAnsi="Times New Roman"/>
          <w:b/>
          <w:bCs/>
          <w:sz w:val="28"/>
          <w:szCs w:val="28"/>
        </w:rPr>
        <w:t>Наукова новизна дослідження</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систематизовано сучасні дані щодо ролі ключових генів у регуляції жирового обміну;</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виявлено особливості ефективності програм зниження маси тіла залежно від генетичного профілю досліджених осіб;</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обґрунтовано можливості практичного застосування персоналізованих підходів до контролю маси тіла, що базуються на генетичному тестуванні.</w:t>
      </w:r>
    </w:p>
    <w:p w:rsidR="003C0557" w:rsidRDefault="00030A4E">
      <w:pPr>
        <w:pStyle w:val="Default"/>
        <w:spacing w:before="0" w:line="360" w:lineRule="auto"/>
        <w:ind w:firstLine="720"/>
        <w:jc w:val="both"/>
        <w:rPr>
          <w:rFonts w:ascii="Times New Roman" w:eastAsia="Times New Roman" w:hAnsi="Times New Roman" w:cs="Times New Roman"/>
          <w:b/>
          <w:bCs/>
          <w:sz w:val="28"/>
          <w:szCs w:val="28"/>
        </w:rPr>
      </w:pPr>
      <w:r>
        <w:rPr>
          <w:rFonts w:ascii="Times New Roman" w:hAnsi="Times New Roman"/>
          <w:b/>
          <w:bCs/>
          <w:sz w:val="28"/>
          <w:szCs w:val="28"/>
        </w:rPr>
        <w:t>Практичне значення дослідження</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Результати роботи можуть бути використані у практиці дієтологів, сімейних лікарів, ендокринологів та фахівців зі спортивної медицини для підвищення </w:t>
      </w:r>
      <w:r>
        <w:rPr>
          <w:rFonts w:ascii="Times New Roman" w:hAnsi="Times New Roman"/>
          <w:sz w:val="28"/>
          <w:szCs w:val="28"/>
        </w:rPr>
        <w:lastRenderedPageBreak/>
        <w:t>ефективності профілактичних та лікувальних програм зниження маси тіла. Запропоновані персоналізовані рекомендації сприятимуть формуванню індивідуальних стратегій харчування, фізичної активності та контролю метаболічних показників.</w:t>
      </w:r>
    </w:p>
    <w:p w:rsidR="003C0557" w:rsidRDefault="00030A4E">
      <w:pPr>
        <w:pStyle w:val="Default"/>
        <w:spacing w:before="0" w:line="360" w:lineRule="auto"/>
        <w:ind w:firstLine="720"/>
        <w:jc w:val="both"/>
        <w:rPr>
          <w:rFonts w:ascii="Times New Roman" w:eastAsia="Times New Roman" w:hAnsi="Times New Roman" w:cs="Times New Roman"/>
          <w:b/>
          <w:bCs/>
          <w:sz w:val="28"/>
          <w:szCs w:val="28"/>
        </w:rPr>
      </w:pPr>
      <w:r>
        <w:rPr>
          <w:rFonts w:ascii="Times New Roman" w:hAnsi="Times New Roman"/>
          <w:b/>
          <w:bCs/>
          <w:sz w:val="28"/>
          <w:szCs w:val="28"/>
        </w:rPr>
        <w:t>Методи дослідження</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У дослідженні застосовано комплексний підхід, що включає:</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аналіз і узагальнення сучасних наукових джерел;</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антропометричні методи (визначення ІМТ, окружності талії та стегон, аналіз складу тіла</w:t>
      </w:r>
      <w:r>
        <w:rPr>
          <w:rFonts w:ascii="Times New Roman" w:hAnsi="Times New Roman"/>
          <w:sz w:val="28"/>
          <w:szCs w:val="28"/>
          <w:lang w:val="it-IT"/>
        </w:rPr>
        <w:t>);</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біохімічні методи (ліпідний спектр, глюкоза, інсулін</w:t>
      </w:r>
      <w:r>
        <w:rPr>
          <w:rFonts w:ascii="Times New Roman" w:hAnsi="Times New Roman"/>
          <w:sz w:val="28"/>
          <w:szCs w:val="28"/>
          <w:lang w:val="de-DE"/>
        </w:rPr>
        <w:t>, HOMA-IR);</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статистичні методи;</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експериментальне оцінювання змін маси тіла та метаболічних показників у досліджуваних осіб залежно від їх генетичного профілю.</w:t>
      </w:r>
    </w:p>
    <w:p w:rsidR="003C0557" w:rsidRDefault="00030A4E">
      <w:pPr>
        <w:pStyle w:val="Default"/>
        <w:spacing w:before="0" w:line="360" w:lineRule="auto"/>
        <w:ind w:firstLine="720"/>
        <w:jc w:val="both"/>
        <w:rPr>
          <w:rFonts w:ascii="Times New Roman" w:eastAsia="Times New Roman" w:hAnsi="Times New Roman" w:cs="Times New Roman"/>
          <w:b/>
          <w:bCs/>
          <w:sz w:val="28"/>
          <w:szCs w:val="28"/>
        </w:rPr>
      </w:pPr>
      <w:r>
        <w:rPr>
          <w:rFonts w:ascii="Times New Roman" w:hAnsi="Times New Roman"/>
          <w:b/>
          <w:bCs/>
          <w:sz w:val="28"/>
          <w:szCs w:val="28"/>
        </w:rPr>
        <w:t>Структура роботи</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Кваліфікаційна робота складається зі вступу, чотирьох розділів, висновків, списку використаних джерел та додатків. У першому розділі подано теоретичний аналіз проблеми, у другому — описано матеріали та методи, у третьому — наведено результати та їх обговорення, у четвертому — розроблено практичні реко</w:t>
      </w:r>
      <w:r w:rsidR="004C67FE">
        <w:rPr>
          <w:rFonts w:ascii="Times New Roman" w:hAnsi="Times New Roman"/>
          <w:sz w:val="28"/>
          <w:szCs w:val="28"/>
        </w:rPr>
        <w:t>мендації. Робота викладена на 64</w:t>
      </w:r>
      <w:r>
        <w:rPr>
          <w:rFonts w:ascii="Times New Roman" w:hAnsi="Times New Roman"/>
          <w:sz w:val="28"/>
          <w:szCs w:val="28"/>
        </w:rPr>
        <w:t xml:space="preserve"> </w:t>
      </w:r>
      <w:r w:rsidR="004C67FE">
        <w:rPr>
          <w:rFonts w:ascii="Times New Roman" w:hAnsi="Times New Roman"/>
          <w:sz w:val="28"/>
          <w:szCs w:val="28"/>
        </w:rPr>
        <w:t>сторінки</w:t>
      </w:r>
      <w:r>
        <w:rPr>
          <w:rFonts w:ascii="Times New Roman" w:hAnsi="Times New Roman"/>
          <w:sz w:val="28"/>
          <w:szCs w:val="28"/>
        </w:rPr>
        <w:t>, містить 4 розділи, 1 таблицю, висновки та список джерел.</w:t>
      </w:r>
    </w:p>
    <w:p w:rsidR="003C0557" w:rsidRPr="00FC55DB" w:rsidRDefault="00030A4E">
      <w:pPr>
        <w:rPr>
          <w:lang w:val="ru-RU"/>
        </w:rPr>
      </w:pPr>
      <w:r w:rsidRPr="00FC55DB">
        <w:rPr>
          <w:rFonts w:ascii="Arial Unicode MS" w:eastAsia="Arial Unicode MS" w:hAnsi="Arial Unicode MS" w:cs="Arial Unicode MS"/>
          <w:sz w:val="28"/>
          <w:szCs w:val="28"/>
          <w:lang w:val="ru-RU"/>
        </w:rPr>
        <w:br w:type="page"/>
      </w:r>
    </w:p>
    <w:p w:rsidR="003C0557" w:rsidRDefault="00030A4E">
      <w:pPr>
        <w:pStyle w:val="1"/>
      </w:pPr>
      <w:bookmarkStart w:id="2" w:name="_Toc1"/>
      <w:r>
        <w:rPr>
          <w:rFonts w:eastAsia="Arial Unicode MS" w:cs="Arial Unicode MS"/>
        </w:rPr>
        <w:lastRenderedPageBreak/>
        <w:t>РОЗДІЛ 1. ГЕНЕТИЧНІ ДЕТЕРМІНАНТИ ЖИРОВОГО ОБМІНУ ТА ЇХ РОЛЬ У РЕГУЛЯЦІЇ МАСИ ТІЛА</w:t>
      </w:r>
      <w:bookmarkEnd w:id="2"/>
    </w:p>
    <w:p w:rsidR="003C0557" w:rsidRDefault="003C0557">
      <w:pPr>
        <w:pStyle w:val="BodyA"/>
        <w:spacing w:line="360" w:lineRule="auto"/>
        <w:ind w:firstLine="720"/>
        <w:jc w:val="both"/>
        <w:rPr>
          <w:sz w:val="28"/>
          <w:szCs w:val="28"/>
        </w:rPr>
      </w:pPr>
    </w:p>
    <w:p w:rsidR="003C0557" w:rsidRPr="00FC55DB" w:rsidRDefault="00030A4E">
      <w:pPr>
        <w:pStyle w:val="2"/>
        <w:rPr>
          <w:sz w:val="30"/>
          <w:szCs w:val="30"/>
          <w:lang w:val="uk-UA"/>
        </w:rPr>
      </w:pPr>
      <w:bookmarkStart w:id="3" w:name="_Toc2"/>
      <w:r w:rsidRPr="00FC55DB">
        <w:rPr>
          <w:rFonts w:eastAsia="Arial Unicode MS" w:cs="Arial Unicode MS"/>
          <w:sz w:val="30"/>
          <w:szCs w:val="30"/>
          <w:lang w:val="uk-UA"/>
        </w:rPr>
        <w:t>1.1. Молекулярно-генетичні механізми жирового обміну</w:t>
      </w:r>
      <w:bookmarkEnd w:id="3"/>
    </w:p>
    <w:p w:rsidR="003C0557" w:rsidRDefault="003C0557">
      <w:pPr>
        <w:pStyle w:val="BodyA"/>
        <w:spacing w:line="360" w:lineRule="auto"/>
        <w:ind w:firstLine="720"/>
        <w:jc w:val="both"/>
        <w:rPr>
          <w:sz w:val="28"/>
          <w:szCs w:val="28"/>
        </w:rPr>
      </w:pPr>
    </w:p>
    <w:p w:rsidR="003C0557" w:rsidRDefault="00030A4E">
      <w:pPr>
        <w:pStyle w:val="BodyA"/>
        <w:spacing w:line="360" w:lineRule="auto"/>
        <w:ind w:firstLine="720"/>
        <w:jc w:val="both"/>
        <w:rPr>
          <w:sz w:val="28"/>
          <w:szCs w:val="28"/>
        </w:rPr>
      </w:pPr>
      <w:r w:rsidRPr="00FC55DB">
        <w:rPr>
          <w:sz w:val="28"/>
          <w:szCs w:val="28"/>
        </w:rPr>
        <w:t xml:space="preserve">Жировий </w:t>
      </w:r>
      <w:r>
        <w:rPr>
          <w:sz w:val="28"/>
          <w:szCs w:val="28"/>
        </w:rPr>
        <w:t xml:space="preserve">(ліпідний) обмін являє собою складну систему біохімічних процесів, що забезпечують надходження, перетравлення, засвоєння, транспорт, синтез, катаболізм і виведення ліпідів з організму людини. Ліпіди виконують багатофункціональну роль: вони є основним енергетичним субстратом, структурним компонентом клітинних мембран, а також попередниками біологічно активних молекул, серед яких – стероїдні гормони, жовчні кислоти, простагландини </w:t>
      </w:r>
      <w:r>
        <w:rPr>
          <w:sz w:val="28"/>
          <w:szCs w:val="28"/>
          <w:lang w:val="pt-PT"/>
        </w:rPr>
        <w:t>[10].</w:t>
      </w:r>
    </w:p>
    <w:p w:rsidR="003C0557" w:rsidRDefault="00030A4E">
      <w:pPr>
        <w:pStyle w:val="BodyA"/>
        <w:spacing w:line="360" w:lineRule="auto"/>
        <w:ind w:firstLine="720"/>
        <w:jc w:val="both"/>
        <w:rPr>
          <w:sz w:val="28"/>
          <w:szCs w:val="28"/>
        </w:rPr>
      </w:pPr>
      <w:r>
        <w:rPr>
          <w:sz w:val="28"/>
          <w:szCs w:val="28"/>
        </w:rPr>
        <w:t xml:space="preserve">Метаболізм жирів охоплює кілька ключових етапів </w:t>
      </w:r>
      <w:r>
        <w:rPr>
          <w:sz w:val="28"/>
          <w:szCs w:val="28"/>
          <w:lang w:val="pt-PT"/>
        </w:rPr>
        <w:t>[3]:</w:t>
      </w:r>
    </w:p>
    <w:p w:rsidR="003C0557" w:rsidRDefault="00030A4E">
      <w:pPr>
        <w:pStyle w:val="BodyA"/>
        <w:numPr>
          <w:ilvl w:val="0"/>
          <w:numId w:val="4"/>
        </w:numPr>
        <w:spacing w:line="360" w:lineRule="auto"/>
        <w:jc w:val="both"/>
        <w:rPr>
          <w:sz w:val="28"/>
          <w:szCs w:val="28"/>
        </w:rPr>
      </w:pPr>
      <w:r>
        <w:rPr>
          <w:sz w:val="28"/>
          <w:szCs w:val="28"/>
        </w:rPr>
        <w:t>Травлення та всмоктування, що включають емульгування ліпідів жовчними кислотами та їх гідроліз під дією панкреатичної ліпази;</w:t>
      </w:r>
    </w:p>
    <w:p w:rsidR="003C0557" w:rsidRDefault="00030A4E">
      <w:pPr>
        <w:pStyle w:val="BodyA"/>
        <w:numPr>
          <w:ilvl w:val="0"/>
          <w:numId w:val="4"/>
        </w:numPr>
        <w:spacing w:line="360" w:lineRule="auto"/>
        <w:jc w:val="both"/>
        <w:rPr>
          <w:sz w:val="28"/>
          <w:szCs w:val="28"/>
        </w:rPr>
      </w:pPr>
      <w:r>
        <w:rPr>
          <w:sz w:val="28"/>
          <w:szCs w:val="28"/>
        </w:rPr>
        <w:t>Транспорт, який здійснюється у формі ліпопротеїнових комплексів (хіломікрони, ЛПДНЩ, ЛПНЩ, ЛПВЩ</w:t>
      </w:r>
      <w:r>
        <w:rPr>
          <w:sz w:val="28"/>
          <w:szCs w:val="28"/>
          <w:lang w:val="it-IT"/>
        </w:rPr>
        <w:t>);</w:t>
      </w:r>
    </w:p>
    <w:p w:rsidR="003C0557" w:rsidRDefault="00030A4E">
      <w:pPr>
        <w:pStyle w:val="BodyA"/>
        <w:numPr>
          <w:ilvl w:val="0"/>
          <w:numId w:val="4"/>
        </w:numPr>
        <w:spacing w:line="360" w:lineRule="auto"/>
        <w:jc w:val="both"/>
        <w:rPr>
          <w:sz w:val="28"/>
          <w:szCs w:val="28"/>
        </w:rPr>
      </w:pPr>
      <w:r>
        <w:rPr>
          <w:sz w:val="28"/>
          <w:szCs w:val="28"/>
        </w:rPr>
        <w:t>Засвоєння в клітинах і депонування у вигляді тригліцеридів у жировій тканині;</w:t>
      </w:r>
    </w:p>
    <w:p w:rsidR="003C0557" w:rsidRDefault="00030A4E">
      <w:pPr>
        <w:pStyle w:val="BodyA"/>
        <w:numPr>
          <w:ilvl w:val="0"/>
          <w:numId w:val="4"/>
        </w:numPr>
        <w:spacing w:line="360" w:lineRule="auto"/>
        <w:jc w:val="both"/>
        <w:rPr>
          <w:sz w:val="28"/>
          <w:szCs w:val="28"/>
        </w:rPr>
      </w:pPr>
      <w:r>
        <w:rPr>
          <w:sz w:val="28"/>
          <w:szCs w:val="28"/>
        </w:rPr>
        <w:t>Катаболізм, що відбувається переважно шляхом β-окиснення жирних кислот у мітохондріях і пероксисомах з утворенням енергії у формі АТФ;</w:t>
      </w:r>
    </w:p>
    <w:p w:rsidR="003C0557" w:rsidRDefault="00030A4E">
      <w:pPr>
        <w:pStyle w:val="BodyA"/>
        <w:numPr>
          <w:ilvl w:val="0"/>
          <w:numId w:val="4"/>
        </w:numPr>
        <w:spacing w:line="360" w:lineRule="auto"/>
        <w:jc w:val="both"/>
        <w:rPr>
          <w:sz w:val="28"/>
          <w:szCs w:val="28"/>
        </w:rPr>
      </w:pPr>
      <w:r>
        <w:rPr>
          <w:sz w:val="28"/>
          <w:szCs w:val="28"/>
        </w:rPr>
        <w:t>Синтез структурних і регуляторних компонентів, зокрема фосфоліпідів та холестерину;</w:t>
      </w:r>
    </w:p>
    <w:p w:rsidR="003C0557" w:rsidRDefault="00030A4E">
      <w:pPr>
        <w:pStyle w:val="BodyA"/>
        <w:numPr>
          <w:ilvl w:val="0"/>
          <w:numId w:val="4"/>
        </w:numPr>
        <w:spacing w:line="360" w:lineRule="auto"/>
        <w:jc w:val="both"/>
        <w:rPr>
          <w:sz w:val="28"/>
          <w:szCs w:val="28"/>
        </w:rPr>
      </w:pPr>
      <w:r>
        <w:rPr>
          <w:sz w:val="28"/>
          <w:szCs w:val="28"/>
        </w:rPr>
        <w:t>Виведення надлишку холестерину та його похідних із жовчю.</w:t>
      </w:r>
    </w:p>
    <w:p w:rsidR="003C0557" w:rsidRDefault="00030A4E">
      <w:pPr>
        <w:pStyle w:val="BodyA"/>
        <w:spacing w:line="360" w:lineRule="auto"/>
        <w:ind w:firstLine="720"/>
        <w:jc w:val="both"/>
        <w:rPr>
          <w:sz w:val="28"/>
          <w:szCs w:val="28"/>
        </w:rPr>
      </w:pPr>
      <w:r>
        <w:rPr>
          <w:sz w:val="28"/>
          <w:szCs w:val="28"/>
        </w:rPr>
        <w:t>У кровообігу головними транспортними формами ліпідів є:</w:t>
      </w:r>
    </w:p>
    <w:p w:rsidR="003C0557" w:rsidRDefault="00030A4E">
      <w:pPr>
        <w:pStyle w:val="BodyA"/>
        <w:numPr>
          <w:ilvl w:val="0"/>
          <w:numId w:val="5"/>
        </w:numPr>
        <w:spacing w:line="360" w:lineRule="auto"/>
        <w:jc w:val="both"/>
        <w:rPr>
          <w:sz w:val="28"/>
          <w:szCs w:val="28"/>
        </w:rPr>
      </w:pPr>
      <w:r>
        <w:rPr>
          <w:sz w:val="28"/>
          <w:szCs w:val="28"/>
        </w:rPr>
        <w:t>Хіломікрони – забезпечують перенесення харчових тригліцеридів із кишечника до м’язів і жирової тканини;</w:t>
      </w:r>
    </w:p>
    <w:p w:rsidR="003C0557" w:rsidRDefault="00030A4E">
      <w:pPr>
        <w:pStyle w:val="BodyA"/>
        <w:numPr>
          <w:ilvl w:val="0"/>
          <w:numId w:val="4"/>
        </w:numPr>
        <w:spacing w:line="360" w:lineRule="auto"/>
        <w:jc w:val="both"/>
        <w:rPr>
          <w:sz w:val="28"/>
          <w:szCs w:val="28"/>
        </w:rPr>
      </w:pPr>
      <w:r>
        <w:rPr>
          <w:sz w:val="28"/>
          <w:szCs w:val="28"/>
        </w:rPr>
        <w:t>Ліпопротеїни дуже низької щільності (ЛПДНЩ) – синтезуються печінкою та транспортують ендогенні тригліцериди;</w:t>
      </w:r>
    </w:p>
    <w:p w:rsidR="003C0557" w:rsidRDefault="00030A4E">
      <w:pPr>
        <w:pStyle w:val="BodyA"/>
        <w:numPr>
          <w:ilvl w:val="0"/>
          <w:numId w:val="4"/>
        </w:numPr>
        <w:spacing w:line="360" w:lineRule="auto"/>
        <w:jc w:val="both"/>
        <w:rPr>
          <w:sz w:val="28"/>
          <w:szCs w:val="28"/>
        </w:rPr>
      </w:pPr>
      <w:r>
        <w:rPr>
          <w:sz w:val="28"/>
          <w:szCs w:val="28"/>
        </w:rPr>
        <w:t>Ліпопротеїни низької щільності (ЛПНЩ) – є основним переносником холестерину, їх надлишок асоціюється з атерогенезом;</w:t>
      </w:r>
    </w:p>
    <w:p w:rsidR="003C0557" w:rsidRDefault="00030A4E">
      <w:pPr>
        <w:pStyle w:val="BodyA"/>
        <w:numPr>
          <w:ilvl w:val="0"/>
          <w:numId w:val="4"/>
        </w:numPr>
        <w:spacing w:line="360" w:lineRule="auto"/>
        <w:jc w:val="both"/>
        <w:rPr>
          <w:sz w:val="28"/>
          <w:szCs w:val="28"/>
        </w:rPr>
      </w:pPr>
      <w:r>
        <w:rPr>
          <w:sz w:val="28"/>
          <w:szCs w:val="28"/>
        </w:rPr>
        <w:lastRenderedPageBreak/>
        <w:t>Ліпопротеїни високої щільності (ЛПВЩ) – відповідають за зворотний транспорт холестерину до печінки, виконуючи захисну функцію щодо серцево-судинної системи.</w:t>
      </w:r>
    </w:p>
    <w:p w:rsidR="003C0557" w:rsidRDefault="00030A4E">
      <w:pPr>
        <w:pStyle w:val="BodyA"/>
        <w:spacing w:line="360" w:lineRule="auto"/>
        <w:ind w:firstLine="720"/>
        <w:jc w:val="both"/>
        <w:rPr>
          <w:sz w:val="28"/>
          <w:szCs w:val="28"/>
        </w:rPr>
      </w:pPr>
      <w:r>
        <w:rPr>
          <w:sz w:val="28"/>
          <w:szCs w:val="28"/>
        </w:rPr>
        <w:t>Важливим є розрізнення різних типів жирів за їхніми властивостями:</w:t>
      </w:r>
    </w:p>
    <w:p w:rsidR="003C0557" w:rsidRDefault="00030A4E">
      <w:pPr>
        <w:pStyle w:val="BodyA"/>
        <w:numPr>
          <w:ilvl w:val="0"/>
          <w:numId w:val="6"/>
        </w:numPr>
        <w:spacing w:line="360" w:lineRule="auto"/>
        <w:jc w:val="both"/>
        <w:rPr>
          <w:sz w:val="28"/>
          <w:szCs w:val="28"/>
        </w:rPr>
      </w:pPr>
      <w:r>
        <w:rPr>
          <w:sz w:val="28"/>
          <w:szCs w:val="28"/>
        </w:rPr>
        <w:t>Ненасичені жирні кислоти (рослинні олії, горіхи, риба) сприяють підвищенню рівня «корисного» холестерину (ЛПВЩ) та зниженню ризику серцево-судинних захворювань;</w:t>
      </w:r>
    </w:p>
    <w:p w:rsidR="003C0557" w:rsidRDefault="00030A4E">
      <w:pPr>
        <w:pStyle w:val="BodyA"/>
        <w:numPr>
          <w:ilvl w:val="0"/>
          <w:numId w:val="4"/>
        </w:numPr>
        <w:spacing w:line="360" w:lineRule="auto"/>
        <w:jc w:val="both"/>
        <w:rPr>
          <w:sz w:val="28"/>
          <w:szCs w:val="28"/>
        </w:rPr>
      </w:pPr>
      <w:r>
        <w:rPr>
          <w:sz w:val="28"/>
          <w:szCs w:val="28"/>
        </w:rPr>
        <w:t>Насичені жири (тваринного походження) асоціюються зі зростанням концентрації «поганого» холестерину (ЛПНЩ</w:t>
      </w:r>
      <w:r>
        <w:rPr>
          <w:sz w:val="28"/>
          <w:szCs w:val="28"/>
          <w:lang w:val="it-IT"/>
        </w:rPr>
        <w:t>);</w:t>
      </w:r>
    </w:p>
    <w:p w:rsidR="003C0557" w:rsidRDefault="00030A4E">
      <w:pPr>
        <w:pStyle w:val="BodyA"/>
        <w:numPr>
          <w:ilvl w:val="0"/>
          <w:numId w:val="4"/>
        </w:numPr>
        <w:spacing w:line="360" w:lineRule="auto"/>
        <w:jc w:val="both"/>
        <w:rPr>
          <w:sz w:val="28"/>
          <w:szCs w:val="28"/>
        </w:rPr>
      </w:pPr>
      <w:r>
        <w:rPr>
          <w:sz w:val="28"/>
          <w:szCs w:val="28"/>
        </w:rPr>
        <w:t>Транс-жири (промислового походження) є найбільш небезпечними, оскільки підвищують ЛПНЩ, знижують ЛПВЩ і значно підвищують ризик атеросклерозу та цукрового діабету 2 типу.</w:t>
      </w:r>
    </w:p>
    <w:p w:rsidR="003C0557" w:rsidRDefault="00030A4E">
      <w:pPr>
        <w:pStyle w:val="BodyA"/>
        <w:spacing w:line="360" w:lineRule="auto"/>
        <w:ind w:firstLine="720"/>
        <w:jc w:val="both"/>
        <w:rPr>
          <w:sz w:val="28"/>
          <w:szCs w:val="28"/>
        </w:rPr>
      </w:pPr>
      <w:r>
        <w:rPr>
          <w:sz w:val="28"/>
          <w:szCs w:val="28"/>
        </w:rPr>
        <w:t>З енергетичної точки зору, жири забезпечують понад удвічі більший вихід енергії порівняно з вуглеводами та білками: при β-окисненні однієї молекули пальмітату утворюється до 106 молекул АТФ. У стані голодування чи інтенсивного фізичного навантаження активується ліполіз у жировій тканині, що забезпечує організм ендогенними субстратами для енергопродукції</w:t>
      </w:r>
      <w:r w:rsidRPr="00FC55DB">
        <w:rPr>
          <w:sz w:val="28"/>
          <w:szCs w:val="28"/>
          <w:lang w:val="ru-RU"/>
        </w:rPr>
        <w:t xml:space="preserve"> [11]</w:t>
      </w:r>
      <w:r>
        <w:rPr>
          <w:sz w:val="28"/>
          <w:szCs w:val="28"/>
        </w:rPr>
        <w:t>.</w:t>
      </w:r>
    </w:p>
    <w:p w:rsidR="003C0557" w:rsidRDefault="00030A4E">
      <w:pPr>
        <w:pStyle w:val="BodyA"/>
        <w:spacing w:line="360" w:lineRule="auto"/>
        <w:ind w:firstLine="720"/>
        <w:jc w:val="both"/>
        <w:rPr>
          <w:sz w:val="28"/>
          <w:szCs w:val="28"/>
        </w:rPr>
      </w:pPr>
      <w:r>
        <w:rPr>
          <w:sz w:val="28"/>
          <w:szCs w:val="28"/>
        </w:rPr>
        <w:t>Водночас сучасні дослідження доводять, що індивідуальні відмінності у швидкості й ефективності цих процесів значною мірою зумовлені генетичними факторами. Поліморфізми генів, які кодують ферменти та білки транспорту ліпідів (наприклад</w:t>
      </w:r>
      <w:r>
        <w:rPr>
          <w:sz w:val="28"/>
          <w:szCs w:val="28"/>
          <w:lang w:val="es-ES_tradnl"/>
        </w:rPr>
        <w:t>, FTO, APOE, PPAR</w:t>
      </w:r>
      <w:r>
        <w:rPr>
          <w:sz w:val="28"/>
          <w:szCs w:val="28"/>
        </w:rPr>
        <w:t>γ</w:t>
      </w:r>
      <w:r>
        <w:rPr>
          <w:sz w:val="28"/>
          <w:szCs w:val="28"/>
          <w:lang w:val="de-DE"/>
        </w:rPr>
        <w:t xml:space="preserve">, ADRB2, LPL), </w:t>
      </w:r>
      <w:r>
        <w:rPr>
          <w:sz w:val="28"/>
          <w:szCs w:val="28"/>
        </w:rPr>
        <w:t xml:space="preserve">впливають на схильність до накопичення жирової тканини, ефективність ліполізу та здатність організму реагувати на зміни у харчуванні та фізичній активності. Це підтверджує необхідність розгляду жирового обміну не лише з біохімічної, а й з молекулярно-генетичної точки зору </w:t>
      </w:r>
      <w:r>
        <w:rPr>
          <w:sz w:val="28"/>
          <w:szCs w:val="28"/>
          <w:lang w:val="pt-PT"/>
        </w:rPr>
        <w:t>[12].</w:t>
      </w:r>
    </w:p>
    <w:p w:rsidR="003C0557" w:rsidRDefault="00030A4E">
      <w:pPr>
        <w:pStyle w:val="BodyA"/>
        <w:spacing w:line="360" w:lineRule="auto"/>
        <w:ind w:firstLine="720"/>
        <w:jc w:val="both"/>
        <w:rPr>
          <w:sz w:val="28"/>
          <w:szCs w:val="28"/>
        </w:rPr>
      </w:pPr>
      <w:r>
        <w:rPr>
          <w:sz w:val="28"/>
          <w:szCs w:val="28"/>
        </w:rPr>
        <w:t xml:space="preserve">Регуляція жирового обміну є багаторівневим процесом, у якому гармонійно взаємодіють гормональні та нервові механізми, підтримуючи рівновагу між надходженням ліпідів, їх зберіганням і подальшим використанням як джерела енергії. Жировий обмін охоплює весь шлях ліпідів — від їхнього всмоктування у травному тракті до транспортування кров’ю, перетворення у тканинах та участі в </w:t>
      </w:r>
      <w:r>
        <w:rPr>
          <w:sz w:val="28"/>
          <w:szCs w:val="28"/>
        </w:rPr>
        <w:lastRenderedPageBreak/>
        <w:t>енергетичному забезпеченні клітин. У печінці та жировій тканині ліпіди зазнають складних біохімічних перетворень, завдяки яким організм може або накопичувати енергію, або швидко її мобілізувати у разі потреби</w:t>
      </w:r>
      <w:r w:rsidRPr="00FC55DB">
        <w:rPr>
          <w:sz w:val="28"/>
          <w:szCs w:val="28"/>
        </w:rPr>
        <w:t xml:space="preserve"> [5]</w:t>
      </w:r>
      <w:r>
        <w:rPr>
          <w:sz w:val="28"/>
          <w:szCs w:val="28"/>
        </w:rPr>
        <w:t>.</w:t>
      </w:r>
    </w:p>
    <w:p w:rsidR="003C0557" w:rsidRDefault="00030A4E">
      <w:pPr>
        <w:pStyle w:val="BodyA"/>
        <w:spacing w:line="360" w:lineRule="auto"/>
        <w:ind w:firstLine="720"/>
        <w:jc w:val="both"/>
        <w:rPr>
          <w:sz w:val="28"/>
          <w:szCs w:val="28"/>
        </w:rPr>
      </w:pPr>
      <w:r>
        <w:rPr>
          <w:sz w:val="28"/>
          <w:szCs w:val="28"/>
        </w:rPr>
        <w:t>Важливим чинником, що визначає напрям жирового обміну, є співвідношення між надходженням калорій та витратами енергії. Коли калорій надходить більше, ніж організм здатен використати, активуються процеси ліпогенезу — утворення та накопичення жиру в адипоцитах. У протилежній ситуації, коли енергетичні витрати перевищують калорійність раціону, організм переходить до ліполізу — розщеплення тригліцеридів із вивільненням жирних кислот, які стають основним паливом для м’язів та інших тканин</w:t>
      </w:r>
      <w:r w:rsidRPr="00FC55DB">
        <w:rPr>
          <w:sz w:val="28"/>
          <w:szCs w:val="28"/>
        </w:rPr>
        <w:t xml:space="preserve"> [16]</w:t>
      </w:r>
      <w:r>
        <w:rPr>
          <w:sz w:val="28"/>
          <w:szCs w:val="28"/>
        </w:rPr>
        <w:t>.</w:t>
      </w:r>
    </w:p>
    <w:p w:rsidR="003C0557" w:rsidRDefault="00030A4E">
      <w:pPr>
        <w:pStyle w:val="BodyA"/>
        <w:spacing w:line="360" w:lineRule="auto"/>
        <w:ind w:firstLine="720"/>
        <w:jc w:val="both"/>
        <w:rPr>
          <w:sz w:val="28"/>
          <w:szCs w:val="28"/>
        </w:rPr>
      </w:pPr>
      <w:r>
        <w:rPr>
          <w:sz w:val="28"/>
          <w:szCs w:val="28"/>
        </w:rPr>
        <w:t>Значний вплив на інтенсивність і спрямованість жирового обміну мають фізичні навантаження. Під час тренувань активізується симпатична нервова система, зростає концентрація адреналіну та норадреналіну, що стимулює розщеплення жирових запасів. Тривалі аеробні вправи сприяють поступовому використанню жирних кислот як основного джерела енергії, тоді як силові навантаження стимулюють підвищення базового метаболізму за рахунок збільшення м’язової маси, що в довгостроковій перспективі покращує здатність організму окиснювати жири навіть у стані спокою</w:t>
      </w:r>
      <w:r w:rsidRPr="00FC55DB">
        <w:rPr>
          <w:sz w:val="28"/>
          <w:szCs w:val="28"/>
        </w:rPr>
        <w:t xml:space="preserve"> [3]</w:t>
      </w:r>
      <w:r>
        <w:rPr>
          <w:sz w:val="28"/>
          <w:szCs w:val="28"/>
        </w:rPr>
        <w:t>.</w:t>
      </w:r>
    </w:p>
    <w:p w:rsidR="003C0557" w:rsidRDefault="00030A4E">
      <w:pPr>
        <w:pStyle w:val="BodyA"/>
        <w:spacing w:line="360" w:lineRule="auto"/>
        <w:ind w:firstLine="720"/>
        <w:jc w:val="both"/>
        <w:rPr>
          <w:sz w:val="28"/>
          <w:szCs w:val="28"/>
        </w:rPr>
      </w:pPr>
      <w:r>
        <w:rPr>
          <w:sz w:val="28"/>
          <w:szCs w:val="28"/>
        </w:rPr>
        <w:t>Найважливішим гормоном, що визначає напрямок метаболізму жирів, виступає інсулін. У період після прийому їжі, коли рівень глюкози у крові підвищується, інсулін активує ліпогенез, сприяючи синтезу тригліцеридів і водночас пригнічує ліполіз. Завдяки цьому надлишкова глюкоза перетворюється на жирові депо, що є резервом енергії для організму.</w:t>
      </w:r>
    </w:p>
    <w:p w:rsidR="003C0557" w:rsidRDefault="00030A4E">
      <w:pPr>
        <w:pStyle w:val="BodyA"/>
        <w:spacing w:line="360" w:lineRule="auto"/>
        <w:ind w:firstLine="720"/>
        <w:jc w:val="both"/>
        <w:rPr>
          <w:sz w:val="28"/>
          <w:szCs w:val="28"/>
        </w:rPr>
      </w:pPr>
      <w:r>
        <w:rPr>
          <w:sz w:val="28"/>
          <w:szCs w:val="28"/>
        </w:rPr>
        <w:t>На противагу інсуліну діють гормони глюкагон, адреналін та норадреналін, які активують процеси розщеплення жирів. В умовах голодування або під час інтенсивних фізичних навантажень ці гормони стимулюють ліполіз, забезпечуючи організм необхідним субстратом для вироблення енергії.</w:t>
      </w:r>
    </w:p>
    <w:p w:rsidR="003C0557" w:rsidRDefault="00030A4E">
      <w:pPr>
        <w:pStyle w:val="BodyA"/>
        <w:spacing w:line="360" w:lineRule="auto"/>
        <w:ind w:firstLine="720"/>
        <w:jc w:val="both"/>
        <w:rPr>
          <w:sz w:val="28"/>
          <w:szCs w:val="28"/>
        </w:rPr>
      </w:pPr>
      <w:r>
        <w:rPr>
          <w:sz w:val="28"/>
          <w:szCs w:val="28"/>
        </w:rPr>
        <w:t xml:space="preserve">Особливу роль відіграє кортизол – гормон кори надниркових залоз. У короткотривалих ситуаціях стресу він сприяє мобілізації енергетичних ресурсів, </w:t>
      </w:r>
      <w:r>
        <w:rPr>
          <w:sz w:val="28"/>
          <w:szCs w:val="28"/>
        </w:rPr>
        <w:lastRenderedPageBreak/>
        <w:t>проте при його хронічному підвищенні відбувається накопичення абдомінального жиру, що має несприятливі наслідки для здоров’я.</w:t>
      </w:r>
    </w:p>
    <w:p w:rsidR="003C0557" w:rsidRDefault="00030A4E">
      <w:pPr>
        <w:pStyle w:val="BodyA"/>
        <w:spacing w:line="360" w:lineRule="auto"/>
        <w:ind w:firstLine="720"/>
        <w:jc w:val="both"/>
        <w:rPr>
          <w:sz w:val="28"/>
          <w:szCs w:val="28"/>
        </w:rPr>
      </w:pPr>
      <w:r>
        <w:rPr>
          <w:sz w:val="28"/>
          <w:szCs w:val="28"/>
        </w:rPr>
        <w:t>Гормони щитоподібної залози (тироксин та трийодтиронін) впливають на швидкість основного обміну, а отже, опосередковано регулюють і процеси ліпідного метаболізму. Їх дефіцит уповільнює розпад жирів, тоді як надлишок стимулює катаболічні реакції.</w:t>
      </w:r>
    </w:p>
    <w:p w:rsidR="003C0557" w:rsidRDefault="00030A4E">
      <w:pPr>
        <w:pStyle w:val="BodyA"/>
        <w:spacing w:line="360" w:lineRule="auto"/>
        <w:ind w:firstLine="720"/>
        <w:jc w:val="both"/>
        <w:rPr>
          <w:sz w:val="28"/>
          <w:szCs w:val="28"/>
        </w:rPr>
      </w:pPr>
      <w:r>
        <w:rPr>
          <w:sz w:val="28"/>
          <w:szCs w:val="28"/>
        </w:rPr>
        <w:t>Важливим чинником контролю жирового обміну є симпатична нервова система, яка через секрецію адреналіну й норадреналіну також стимулює ліполіз. Це забезпечує швидку мобілізацію енергетичних ресурсів у стресових умовах або при фізичній активності.</w:t>
      </w:r>
    </w:p>
    <w:p w:rsidR="003C0557" w:rsidRDefault="00030A4E">
      <w:pPr>
        <w:pStyle w:val="BodyA"/>
        <w:spacing w:line="360" w:lineRule="auto"/>
        <w:ind w:firstLine="720"/>
        <w:jc w:val="both"/>
        <w:rPr>
          <w:sz w:val="28"/>
          <w:szCs w:val="28"/>
        </w:rPr>
      </w:pPr>
      <w:r>
        <w:rPr>
          <w:sz w:val="28"/>
          <w:szCs w:val="28"/>
        </w:rPr>
        <w:t xml:space="preserve">Окрім енергетичної ролі, ліпіди виконують низку життєво важливих функцій. Жирова тканина, розташована навколо внутрішніх органів, створює механічний бар’єр і захищає їх від травм. Підшкірний жировий шар бере участь у процесах терморегуляції, зменшуючи втрату тепла. Холестерин, як структурний компонент клітинних мембран, одночасно виступає попередником стероїдних гормонів (кортизолу, </w:t>
      </w:r>
      <w:r>
        <w:rPr>
          <w:sz w:val="28"/>
          <w:szCs w:val="28"/>
          <w:lang w:val="ru-RU"/>
        </w:rPr>
        <w:t>альдостерону</w:t>
      </w:r>
      <w:r>
        <w:rPr>
          <w:sz w:val="28"/>
          <w:szCs w:val="28"/>
        </w:rPr>
        <w:t xml:space="preserve">, статевих гормонів). Крім того, наявність жирів є обов’язковою умовою для повноцінного засвоєння жиророзчинних вітамінів – </w:t>
      </w:r>
      <w:r>
        <w:rPr>
          <w:sz w:val="28"/>
          <w:szCs w:val="28"/>
          <w:lang w:val="de-DE"/>
        </w:rPr>
        <w:t>A, D, E, K</w:t>
      </w:r>
      <w:r w:rsidRPr="00FC55DB">
        <w:rPr>
          <w:sz w:val="28"/>
          <w:szCs w:val="28"/>
        </w:rPr>
        <w:t xml:space="preserve"> [20]</w:t>
      </w:r>
      <w:r>
        <w:rPr>
          <w:sz w:val="28"/>
          <w:szCs w:val="28"/>
        </w:rPr>
        <w:t>.</w:t>
      </w:r>
    </w:p>
    <w:p w:rsidR="003C0557" w:rsidRPr="00634719" w:rsidRDefault="00030A4E" w:rsidP="00634719">
      <w:pPr>
        <w:pStyle w:val="BodyA"/>
        <w:spacing w:line="360" w:lineRule="auto"/>
        <w:ind w:firstLine="720"/>
        <w:jc w:val="both"/>
        <w:rPr>
          <w:sz w:val="28"/>
          <w:szCs w:val="28"/>
        </w:rPr>
      </w:pPr>
      <w:r>
        <w:rPr>
          <w:sz w:val="28"/>
          <w:szCs w:val="28"/>
        </w:rPr>
        <w:t>Основні механізми жирового обміну охоплюють кілька ключових етапів: надходження та травлення ліпідів, їхній транспорт у складі ліпопротеїнів, депонування у жировій тканині, мобілізацію під дією гормонів та подальше окиснення у мітохондріях. На кожному з цих етапів можливі порушення, однак найбільш вразливими ланками вважаються регуляція ліпопротеїнового балансу, гормональний контроль ліполізу та ліпогенезу, а також функціональний стан клітинних мембран і рецепторних систем. Саме тут найчастіше виникають відхилення, що призводять до дисліпідемій, інсулінорезистентності, накопичення надлишкового жиру та розвитку атерогенних процесів. Отже, слабкими місцями жирового обміну є ті ділянки, де порушується взаємодія між гормонами, ферментами та транспортними білками, що створює умови для формування патологій, включно з атеросклерозом та метаболічним синдромом</w:t>
      </w:r>
      <w:r w:rsidRPr="00FC55DB">
        <w:rPr>
          <w:sz w:val="28"/>
          <w:szCs w:val="28"/>
        </w:rPr>
        <w:t xml:space="preserve"> [22]</w:t>
      </w:r>
      <w:r>
        <w:rPr>
          <w:sz w:val="28"/>
          <w:szCs w:val="28"/>
        </w:rPr>
        <w:t>.</w:t>
      </w:r>
    </w:p>
    <w:p w:rsidR="003C0557" w:rsidRDefault="00030A4E">
      <w:pPr>
        <w:pStyle w:val="BodyA"/>
        <w:spacing w:line="360" w:lineRule="auto"/>
        <w:ind w:firstLine="720"/>
        <w:jc w:val="both"/>
        <w:rPr>
          <w:sz w:val="28"/>
          <w:szCs w:val="28"/>
        </w:rPr>
      </w:pPr>
      <w:r>
        <w:rPr>
          <w:sz w:val="28"/>
          <w:szCs w:val="28"/>
        </w:rPr>
        <w:lastRenderedPageBreak/>
        <w:t xml:space="preserve">Іншим серйозним наслідком порушень ліпідного обміну є ожиріння – патологічне накопичення жирової тканини. Воно часто супроводжується розвитком метаболічного синдрому, до складу якого входять абдомінальне ожиріння, дисліпідемія, артеріальна гіпертензія та інсулінорезистентність. Цей синдром суттєво збільшує ризик цукрового діабету 2 </w:t>
      </w:r>
      <w:r>
        <w:rPr>
          <w:sz w:val="28"/>
          <w:szCs w:val="28"/>
          <w:lang w:val="ru-RU"/>
        </w:rPr>
        <w:t>типу та серцево</w:t>
      </w:r>
      <w:r>
        <w:rPr>
          <w:sz w:val="28"/>
          <w:szCs w:val="28"/>
        </w:rPr>
        <w:t>-судинних ускладнень</w:t>
      </w:r>
      <w:r w:rsidRPr="00FC55DB">
        <w:rPr>
          <w:sz w:val="28"/>
          <w:szCs w:val="28"/>
          <w:lang w:val="ru-RU"/>
        </w:rPr>
        <w:t xml:space="preserve"> [7]</w:t>
      </w:r>
      <w:r>
        <w:rPr>
          <w:sz w:val="28"/>
          <w:szCs w:val="28"/>
        </w:rPr>
        <w:t>.</w:t>
      </w:r>
    </w:p>
    <w:p w:rsidR="003C0557" w:rsidRDefault="00030A4E">
      <w:pPr>
        <w:pStyle w:val="BodyA"/>
        <w:spacing w:line="360" w:lineRule="auto"/>
        <w:ind w:firstLine="720"/>
        <w:jc w:val="both"/>
        <w:rPr>
          <w:sz w:val="28"/>
          <w:szCs w:val="28"/>
        </w:rPr>
      </w:pPr>
      <w:r>
        <w:rPr>
          <w:sz w:val="28"/>
          <w:szCs w:val="28"/>
        </w:rPr>
        <w:t>Недостатнє надходження чи засвоєння жирів також може мати негативні наслідки. Зокрема, дефіцит жирів у раціоні призводить до порушення засвоєння жиророзчинних вітамінів, що викликає явища авітамінозу.</w:t>
      </w:r>
    </w:p>
    <w:p w:rsidR="003C0557" w:rsidRDefault="00030A4E">
      <w:pPr>
        <w:pStyle w:val="BodyA"/>
        <w:spacing w:line="360" w:lineRule="auto"/>
        <w:ind w:firstLine="720"/>
        <w:jc w:val="both"/>
        <w:rPr>
          <w:sz w:val="28"/>
          <w:szCs w:val="28"/>
        </w:rPr>
      </w:pPr>
      <w:r>
        <w:rPr>
          <w:sz w:val="28"/>
          <w:szCs w:val="28"/>
        </w:rPr>
        <w:t>Окремої уваги заслуговує жирова хвороба печінки (стеатоз), що характеризується надмірним накопиченням ліпідів у гепатоцитах. При прогресуванні цей стан може спричинити запальні процеси, фіброз і навіть цироз печінки.</w:t>
      </w:r>
    </w:p>
    <w:p w:rsidR="003C0557" w:rsidRDefault="00030A4E">
      <w:pPr>
        <w:pStyle w:val="BodyA"/>
        <w:spacing w:line="360" w:lineRule="auto"/>
        <w:ind w:firstLine="720"/>
        <w:jc w:val="both"/>
        <w:rPr>
          <w:sz w:val="28"/>
          <w:szCs w:val="28"/>
        </w:rPr>
      </w:pPr>
      <w:r>
        <w:rPr>
          <w:sz w:val="28"/>
          <w:szCs w:val="28"/>
        </w:rPr>
        <w:t>Отже, процес ліпідного обміну розпочинається вже в тонкому кишечнику, куди з їжею надходять тригліцериди. Під впливом ферментів вони розщеплюються на дрібніші компоненти — спочатку на жирні кислоти середнього й короткого ланцюга, а згодом на молекули моногліцеридів. Важливу роль у цьому процесі відіграють підшлункові ліпази — ферменти, що розщеплюють жири після їх емульгування жовчними солями. Коли харчові маси у вигляді хімусу надходять у просвіт тонкого кишечника, клітини його слизової оболонки починають виділяти гормон холецистокінін (</w:t>
      </w:r>
      <w:r w:rsidRPr="00FC55DB">
        <w:rPr>
          <w:sz w:val="28"/>
          <w:szCs w:val="28"/>
        </w:rPr>
        <w:t>ССК</w:t>
      </w:r>
      <w:r>
        <w:rPr>
          <w:sz w:val="28"/>
          <w:szCs w:val="28"/>
        </w:rPr>
        <w:t xml:space="preserve">). Цей гормон виконує подвійну функцію: по-перше, він стимулює секрецію ліпаз підшлунковою залозою, а по-друге — спричиняє скорочення жовчного міхура, що забезпечує надходження жовчних солей у кишечник. Додатково ССК надсилає сигнали в центральну нервову систему, де діє як фізіологічний пригнічувач апетиту </w:t>
      </w:r>
      <w:r>
        <w:rPr>
          <w:sz w:val="28"/>
          <w:szCs w:val="28"/>
          <w:lang w:val="pt-PT"/>
        </w:rPr>
        <w:t xml:space="preserve">[4]. </w:t>
      </w:r>
    </w:p>
    <w:p w:rsidR="003C0557" w:rsidRDefault="00030A4E">
      <w:pPr>
        <w:pStyle w:val="BodyA"/>
        <w:spacing w:line="360" w:lineRule="auto"/>
        <w:ind w:firstLine="720"/>
        <w:jc w:val="both"/>
        <w:rPr>
          <w:sz w:val="28"/>
          <w:szCs w:val="28"/>
        </w:rPr>
      </w:pPr>
      <w:r>
        <w:rPr>
          <w:sz w:val="28"/>
          <w:szCs w:val="28"/>
        </w:rPr>
        <w:t xml:space="preserve">У результаті злагодженої дії жовчних кислот і ліпаз підшлункової залози відбувається гідроліз тригліцеридів до вільних жирних кислот. Після перетину клітинної мембрани ентероцитів ці кислоти повторно ресинтезуються у тригліцериди. Далі вони об’єднуються з холестерином і фосфоліпідами у специфічні транспортні частинки — хіломікрони. Завдяки такій структурі жири набувають </w:t>
      </w:r>
      <w:r>
        <w:rPr>
          <w:sz w:val="28"/>
          <w:szCs w:val="28"/>
        </w:rPr>
        <w:lastRenderedPageBreak/>
        <w:t>здатності переміщатися у водному середовищі лімфи та крові. Хіломікрони виходять з ентероцитів шляхом екзоцитозу, потрапляючи спершу у лімфатичні капіляри ворсинок кишечника, а згодом — у системний кровообіг. У крові вони можуть бути доставлені або до печінки для подальшої трансформації, або ж відкладатися у вигляді запасів у жирових клітинах (адипоцитах)</w:t>
      </w:r>
      <w:r w:rsidRPr="00FC55DB">
        <w:rPr>
          <w:sz w:val="28"/>
          <w:szCs w:val="28"/>
          <w:lang w:val="ru-RU"/>
        </w:rPr>
        <w:t xml:space="preserve"> [14]</w:t>
      </w:r>
      <w:r>
        <w:rPr>
          <w:sz w:val="28"/>
          <w:szCs w:val="28"/>
        </w:rPr>
        <w:t>.</w:t>
      </w:r>
    </w:p>
    <w:p w:rsidR="003C0557" w:rsidRDefault="00030A4E">
      <w:pPr>
        <w:pStyle w:val="BodyA"/>
        <w:spacing w:line="360" w:lineRule="auto"/>
        <w:ind w:firstLine="720"/>
        <w:jc w:val="both"/>
        <w:rPr>
          <w:sz w:val="28"/>
          <w:szCs w:val="28"/>
        </w:rPr>
      </w:pPr>
      <w:r>
        <w:rPr>
          <w:sz w:val="28"/>
          <w:szCs w:val="28"/>
        </w:rPr>
        <w:t xml:space="preserve">Щоб отримати енергію із запасів жиру, організм активує процес ліполізу — розщеплення тригліцеридів на гліцерин і жирні кислоти. Ліполіз відбувається у цитоплазмі клітин. Жирні кислоти далі піддаються β-окисненню, унаслідок чого утворюється ацетил-КоА, який надходить у цикл Кребса для синтезу АТФ. Гліцерин, своєю чергою, використовується в гліколітичному шляху, де перетворюється на дигідроксіацетонфосфат </w:t>
      </w:r>
      <w:r w:rsidRPr="00FC55DB">
        <w:rPr>
          <w:sz w:val="28"/>
          <w:szCs w:val="28"/>
        </w:rPr>
        <w:t>(</w:t>
      </w:r>
      <w:r>
        <w:rPr>
          <w:sz w:val="28"/>
          <w:szCs w:val="28"/>
          <w:lang w:val="en-US"/>
        </w:rPr>
        <w:t>DHAP</w:t>
      </w:r>
      <w:r w:rsidRPr="00FC55DB">
        <w:rPr>
          <w:sz w:val="28"/>
          <w:szCs w:val="28"/>
        </w:rPr>
        <w:t xml:space="preserve">). </w:t>
      </w:r>
      <w:r>
        <w:rPr>
          <w:sz w:val="28"/>
          <w:szCs w:val="28"/>
        </w:rPr>
        <w:t>Завдяки тому, що кожна молекула тригліцериду містить три жирні кислоти, які можуть мати 16 і більше атомів вуглецю, жири є надзвичайно енергоємними сполуками. Вони забезпечують удвічі більший вихід енергії на одиницю маси, ніж вуглеводи чи білки. Саме тому під час дефіциту глюкози організм переходить на окиснення жирів як основне джерело енергії</w:t>
      </w:r>
      <w:r w:rsidRPr="00FC55DB">
        <w:rPr>
          <w:sz w:val="28"/>
          <w:szCs w:val="28"/>
          <w:lang w:val="ru-RU"/>
        </w:rPr>
        <w:t xml:space="preserve"> [6]</w:t>
      </w:r>
      <w:r>
        <w:rPr>
          <w:sz w:val="28"/>
          <w:szCs w:val="28"/>
        </w:rPr>
        <w:t>.</w:t>
      </w:r>
    </w:p>
    <w:p w:rsidR="003C0557" w:rsidRDefault="00030A4E">
      <w:pPr>
        <w:pStyle w:val="BodyA"/>
        <w:spacing w:line="360" w:lineRule="auto"/>
        <w:ind w:firstLine="720"/>
        <w:jc w:val="both"/>
        <w:rPr>
          <w:sz w:val="28"/>
          <w:szCs w:val="28"/>
        </w:rPr>
      </w:pPr>
      <w:r>
        <w:rPr>
          <w:sz w:val="28"/>
          <w:szCs w:val="28"/>
        </w:rPr>
        <w:t xml:space="preserve">Розщеплення жирних кислот, або β-окиснення, починається у цитоплазмі клітини, де жирна кислота активується й перетворюється на ацил-КоА. Для транспортування у мітохондрії ацил-КоА з’єднується з карнітином, утворюючи комплекс ацилкарнітину, що легко проходить через внутрішню мембрану мітохондрії. Усередині матриксу молекула знову перетворюється на ацил-КоА, який у подальшому окиснюється до ацетил-КоА. </w:t>
      </w:r>
      <w:r w:rsidRPr="00FC55DB">
        <w:rPr>
          <w:sz w:val="28"/>
          <w:szCs w:val="28"/>
        </w:rPr>
        <w:t>Саме ацетил</w:t>
      </w:r>
      <w:r>
        <w:rPr>
          <w:sz w:val="28"/>
          <w:szCs w:val="28"/>
        </w:rPr>
        <w:t>-КоА є ключовим субстратом циклу Кребса, що забезпечує синтез молекул АТФ шляхом аеробного дихання.</w:t>
      </w:r>
    </w:p>
    <w:p w:rsidR="003C0557" w:rsidRDefault="00030A4E">
      <w:pPr>
        <w:pStyle w:val="BodyA"/>
        <w:spacing w:line="360" w:lineRule="auto"/>
        <w:ind w:firstLine="720"/>
        <w:jc w:val="both"/>
        <w:rPr>
          <w:sz w:val="28"/>
          <w:szCs w:val="28"/>
        </w:rPr>
      </w:pPr>
      <w:r w:rsidRPr="00FC55DB">
        <w:rPr>
          <w:sz w:val="28"/>
          <w:szCs w:val="28"/>
        </w:rPr>
        <w:t>Однак</w:t>
      </w:r>
      <w:r>
        <w:rPr>
          <w:sz w:val="28"/>
          <w:szCs w:val="28"/>
        </w:rPr>
        <w:t>, якщо внаслідок інтенсивного β-окиснення жирних кислот у клітині накопичується надлишок ацетил-КоА, і цикл Кребса не встигає його утилізувати, то активується альтернативний шлях — кетогенез. У цьому випадку ацетил-КоА конденсується з утворенням гідроксиметилглутарил-</w:t>
      </w:r>
      <w:r w:rsidRPr="00FC55DB">
        <w:rPr>
          <w:sz w:val="28"/>
          <w:szCs w:val="28"/>
        </w:rPr>
        <w:t xml:space="preserve">КоА </w:t>
      </w:r>
      <w:r>
        <w:rPr>
          <w:sz w:val="28"/>
          <w:szCs w:val="28"/>
        </w:rPr>
        <w:t xml:space="preserve">(HMG-КоА), який далі перетворюється у β-гідроксибутират — основне кетонове тіло в крові. Кетонові тіла слугують додатковим джерелом енергії для мозку, серцевого м’яза та інших органів </w:t>
      </w:r>
      <w:r>
        <w:rPr>
          <w:sz w:val="28"/>
          <w:szCs w:val="28"/>
        </w:rPr>
        <w:lastRenderedPageBreak/>
        <w:t xml:space="preserve">у періоди тривалого голодування, виснажливих фізичних навантажень чи при патологіях, наприклад, неконтрольованому цукровому діабеті, коли використання глюкози клітинами є утрудненим. </w:t>
      </w:r>
      <w:r w:rsidRPr="00FC55DB">
        <w:rPr>
          <w:sz w:val="28"/>
          <w:szCs w:val="28"/>
        </w:rPr>
        <w:t>Таким чином</w:t>
      </w:r>
      <w:r>
        <w:rPr>
          <w:sz w:val="28"/>
          <w:szCs w:val="28"/>
        </w:rPr>
        <w:t>, мобілізація жирових запасів і утворення кетонових тіл виступають важливими механізмами адаптації організму до дефіциту вуглеводів</w:t>
      </w:r>
      <w:r w:rsidRPr="00FC55DB">
        <w:rPr>
          <w:sz w:val="28"/>
          <w:szCs w:val="28"/>
        </w:rPr>
        <w:t xml:space="preserve"> [2]</w:t>
      </w:r>
      <w:r>
        <w:rPr>
          <w:sz w:val="28"/>
          <w:szCs w:val="28"/>
        </w:rPr>
        <w:t>.</w:t>
      </w:r>
    </w:p>
    <w:p w:rsidR="003C0557" w:rsidRDefault="00030A4E">
      <w:pPr>
        <w:pStyle w:val="BodyA"/>
        <w:spacing w:line="360" w:lineRule="auto"/>
        <w:ind w:firstLine="720"/>
        <w:jc w:val="both"/>
        <w:rPr>
          <w:sz w:val="28"/>
          <w:szCs w:val="28"/>
        </w:rPr>
      </w:pPr>
      <w:r>
        <w:rPr>
          <w:sz w:val="28"/>
          <w:szCs w:val="28"/>
        </w:rPr>
        <w:t>Традиційно вважалося, що головним і фактично єдиним джерелом енергії для таких органів, як головний мозок, є глюкоза. Проте сучасні дослідження довели, що у станах дефіциту вуглеводів (наприклад, під час тривалого голодування або при інсулінозалежному діабеті) мозок може успішно використовувати кетонові тіла як альтернативне паливо. Саме це забезпечує його стабільне функціонування у випадках, коли надходження або утилізація глюкози обмежені.</w:t>
      </w:r>
    </w:p>
    <w:p w:rsidR="003C0557" w:rsidRDefault="00030A4E">
      <w:pPr>
        <w:pStyle w:val="BodyA"/>
        <w:spacing w:line="360" w:lineRule="auto"/>
        <w:ind w:firstLine="720"/>
        <w:jc w:val="both"/>
        <w:rPr>
          <w:sz w:val="28"/>
          <w:szCs w:val="28"/>
        </w:rPr>
      </w:pPr>
      <w:r>
        <w:rPr>
          <w:sz w:val="28"/>
          <w:szCs w:val="28"/>
          <w:lang w:val="ru-RU"/>
        </w:rPr>
        <w:t>Однак</w:t>
      </w:r>
      <w:r>
        <w:rPr>
          <w:sz w:val="28"/>
          <w:szCs w:val="28"/>
        </w:rPr>
        <w:t xml:space="preserve">, якщо швидкість утворення кетонів перевищує їхнє споживання тканинами, надлишок метаболізується до вуглекислого газу та ацетону. Ацетон видаляється з організму з повітрям, що видихається, </w:t>
      </w:r>
      <w:r>
        <w:rPr>
          <w:sz w:val="28"/>
          <w:szCs w:val="28"/>
          <w:lang w:val="ru-RU"/>
        </w:rPr>
        <w:t>надаючи диханню характерного «фруктового» або «солодкуватого» запаху</w:t>
      </w:r>
      <w:r>
        <w:rPr>
          <w:sz w:val="28"/>
          <w:szCs w:val="28"/>
        </w:rPr>
        <w:t xml:space="preserve">, що часто спостерігається у пацієнтів із декомпенсованим діабетом. Цей симптом має діагностичне значення, адже дозволяє непрямо оцінити ефективність контролю захворювання. </w:t>
      </w:r>
      <w:r w:rsidRPr="00FC55DB">
        <w:rPr>
          <w:sz w:val="28"/>
          <w:szCs w:val="28"/>
        </w:rPr>
        <w:t xml:space="preserve">Водночас надлишкове утворення </w:t>
      </w:r>
      <w:r>
        <w:rPr>
          <w:sz w:val="28"/>
          <w:szCs w:val="28"/>
        </w:rPr>
        <w:t>CO</w:t>
      </w:r>
      <w:r>
        <w:rPr>
          <w:rFonts w:ascii="Arial Unicode MS" w:hAnsi="Arial Unicode MS"/>
          <w:sz w:val="28"/>
          <w:szCs w:val="28"/>
          <w:vertAlign w:val="subscript"/>
        </w:rPr>
        <w:t>2</w:t>
      </w:r>
      <w:r>
        <w:rPr>
          <w:sz w:val="28"/>
          <w:szCs w:val="28"/>
        </w:rPr>
        <w:t xml:space="preserve"> унаслідок кетогенезу може спричиняти ацидоз, що призводить до розвитку небезпечного для життя ускладнення — діабетичного кетоацидозу </w:t>
      </w:r>
      <w:r>
        <w:rPr>
          <w:sz w:val="28"/>
          <w:szCs w:val="28"/>
          <w:lang w:val="pt-PT"/>
        </w:rPr>
        <w:t>[2].</w:t>
      </w:r>
    </w:p>
    <w:p w:rsidR="003C0557" w:rsidRDefault="00030A4E">
      <w:pPr>
        <w:pStyle w:val="BodyA"/>
        <w:spacing w:line="360" w:lineRule="auto"/>
        <w:ind w:firstLine="720"/>
        <w:jc w:val="both"/>
        <w:rPr>
          <w:sz w:val="28"/>
          <w:szCs w:val="28"/>
        </w:rPr>
      </w:pPr>
      <w:r>
        <w:rPr>
          <w:sz w:val="28"/>
          <w:szCs w:val="28"/>
        </w:rPr>
        <w:t xml:space="preserve">Кетонові тіла є енергетичним субстратом: β-гідроксибутират окиснюється до ацетоацетату з вивільненням відновленого НАДН. Далі ацетоацетат активується приєднанням </w:t>
      </w:r>
      <w:r>
        <w:rPr>
          <w:sz w:val="28"/>
          <w:szCs w:val="28"/>
          <w:lang w:val="pt-PT"/>
        </w:rPr>
        <w:t xml:space="preserve">HS-CoA, </w:t>
      </w:r>
      <w:r>
        <w:rPr>
          <w:sz w:val="28"/>
          <w:szCs w:val="28"/>
        </w:rPr>
        <w:t xml:space="preserve">перетворюючись на ацетоацетил-КоА. Ця сполука розщеплюється на дві молекули ацетил-КоА, які в подальшому залучаються до циклу Кребса, де відбувається утворення АТФ. </w:t>
      </w:r>
      <w:r>
        <w:rPr>
          <w:sz w:val="28"/>
          <w:szCs w:val="28"/>
          <w:lang w:val="ru-RU"/>
        </w:rPr>
        <w:t>Таким чином</w:t>
      </w:r>
      <w:r>
        <w:rPr>
          <w:sz w:val="28"/>
          <w:szCs w:val="28"/>
        </w:rPr>
        <w:t>, кетони слугують важливим резервним джерелом енергії для мозку й інших органів.</w:t>
      </w:r>
    </w:p>
    <w:p w:rsidR="003C0557" w:rsidRDefault="00030A4E">
      <w:pPr>
        <w:pStyle w:val="BodyA"/>
        <w:spacing w:line="360" w:lineRule="auto"/>
        <w:ind w:firstLine="720"/>
        <w:jc w:val="both"/>
        <w:rPr>
          <w:sz w:val="28"/>
          <w:szCs w:val="28"/>
        </w:rPr>
      </w:pPr>
      <w:r>
        <w:rPr>
          <w:sz w:val="28"/>
          <w:szCs w:val="28"/>
        </w:rPr>
        <w:t xml:space="preserve">У протилежних умовах — при надлишковому споживанні вуглеводів — організм активує процес ліпогенезу, тобто синтезу жирних кислот і тригліцеридів з ацетил-КоА. Надлишок глюкози після гліколізу забезпечує великий вихід ацетил-КоА, що стає вихідним субстратом для цього анаболічного шляху. Ліпогенез відбувається у цитоплазмі адипоцитів та гепатоцитів і супроводжується </w:t>
      </w:r>
      <w:r>
        <w:rPr>
          <w:sz w:val="28"/>
          <w:szCs w:val="28"/>
        </w:rPr>
        <w:lastRenderedPageBreak/>
        <w:t xml:space="preserve">послідовним приєднанням двох атомів вуглецю від кожної нової молекули ацетил-КоА. </w:t>
      </w:r>
      <w:r>
        <w:rPr>
          <w:sz w:val="28"/>
          <w:szCs w:val="28"/>
          <w:lang w:val="ru-RU"/>
        </w:rPr>
        <w:t>Це енергозатратний процес</w:t>
      </w:r>
      <w:r>
        <w:rPr>
          <w:sz w:val="28"/>
          <w:szCs w:val="28"/>
        </w:rPr>
        <w:t>, який вимагає витрат АТФ, проте дозволяє організму ефективно акумулювати надлишкову енергію у вигляді високоенергетичних молекул тригліцеридів. Такі запаси зберігаються у жировій тканині до моменту, коли виникає потреба у їхній мобілізації</w:t>
      </w:r>
      <w:r w:rsidRPr="00FC55DB">
        <w:rPr>
          <w:sz w:val="28"/>
          <w:szCs w:val="28"/>
          <w:lang w:val="ru-RU"/>
        </w:rPr>
        <w:t xml:space="preserve"> [17]</w:t>
      </w:r>
      <w:r>
        <w:rPr>
          <w:sz w:val="28"/>
          <w:szCs w:val="28"/>
        </w:rPr>
        <w:t>.</w:t>
      </w:r>
    </w:p>
    <w:p w:rsidR="003C0557" w:rsidRDefault="00030A4E">
      <w:pPr>
        <w:pStyle w:val="BodyA"/>
        <w:spacing w:line="360" w:lineRule="auto"/>
        <w:ind w:firstLine="720"/>
        <w:jc w:val="both"/>
        <w:rPr>
          <w:sz w:val="28"/>
          <w:szCs w:val="28"/>
        </w:rPr>
      </w:pPr>
      <w:r>
        <w:rPr>
          <w:sz w:val="28"/>
          <w:szCs w:val="28"/>
        </w:rPr>
        <w:t>Важливо відзначити, що джерелом ацетил-КоА для ліпогенезу є мітохондрії, тоді як сам процес синтезу відбувається в цитоплазмі. Оскільки ацетил-КоА не може безпосередньо проходити крізь внутрішню мембрану мітохондрії, він експортується у вигляді цитрату. Для цього піруват за допомогою ферментів перетворюється одночасно на оксалоацетат (за участю піруваткарбоксилази) та ацетил-</w:t>
      </w:r>
      <w:r>
        <w:rPr>
          <w:sz w:val="28"/>
          <w:szCs w:val="28"/>
          <w:lang w:val="ru-RU"/>
        </w:rPr>
        <w:t xml:space="preserve">КоА </w:t>
      </w:r>
      <w:r>
        <w:rPr>
          <w:sz w:val="28"/>
          <w:szCs w:val="28"/>
        </w:rPr>
        <w:t xml:space="preserve">(завдяки піруватдегідрогеназі). Їхня конденсація утворює цитрат, який вільно транспортується у цитоплазму. Тут він знову розщеплюється на оксалоацетат і ацетил-КоА. Оксалоацетат у свою чергу відновлюється до малату, а згодом перетворюється на піруват, який повертається в мітохондрії для повторного циклу. </w:t>
      </w:r>
      <w:r>
        <w:rPr>
          <w:sz w:val="28"/>
          <w:szCs w:val="28"/>
          <w:lang w:val="ru-RU"/>
        </w:rPr>
        <w:t>Тим часом ацетил</w:t>
      </w:r>
      <w:r>
        <w:rPr>
          <w:sz w:val="28"/>
          <w:szCs w:val="28"/>
        </w:rPr>
        <w:t>-КоА у цитоплазмі за допомогою ферменту ацетил-КоА-карбоксилази перетворюється на малоніл-</w:t>
      </w:r>
      <w:r w:rsidRPr="00FC55DB">
        <w:rPr>
          <w:sz w:val="28"/>
          <w:szCs w:val="28"/>
          <w:lang w:val="ru-RU"/>
        </w:rPr>
        <w:t>КоА — ключовий попередник синтезу жирних кислот</w:t>
      </w:r>
      <w:r>
        <w:rPr>
          <w:sz w:val="28"/>
          <w:szCs w:val="28"/>
        </w:rPr>
        <w:t>.</w:t>
      </w:r>
    </w:p>
    <w:p w:rsidR="003C0557" w:rsidRDefault="00030A4E">
      <w:pPr>
        <w:pStyle w:val="BodyA"/>
        <w:spacing w:line="360" w:lineRule="auto"/>
        <w:ind w:firstLine="720"/>
        <w:jc w:val="both"/>
        <w:rPr>
          <w:sz w:val="28"/>
          <w:szCs w:val="28"/>
        </w:rPr>
      </w:pPr>
      <w:r>
        <w:rPr>
          <w:sz w:val="28"/>
          <w:szCs w:val="28"/>
        </w:rPr>
        <w:t>Отже, процеси кетогенезу та ліпогенезу виступають взаємодоповнювальними механізмами, які забезпечують енергетичну гнучкість організму: у разі дефіциту глюкози — за рахунок утворення кетонів, а при надлишку вуглеводів — через синтез і накопичення жирів.</w:t>
      </w:r>
    </w:p>
    <w:p w:rsidR="003C0557" w:rsidRDefault="003C0557">
      <w:pPr>
        <w:pStyle w:val="BodyA"/>
        <w:spacing w:line="360" w:lineRule="auto"/>
        <w:ind w:firstLine="720"/>
        <w:jc w:val="both"/>
        <w:rPr>
          <w:sz w:val="28"/>
          <w:szCs w:val="28"/>
        </w:rPr>
      </w:pPr>
    </w:p>
    <w:p w:rsidR="003C0557" w:rsidRPr="00FC55DB" w:rsidRDefault="00030A4E">
      <w:pPr>
        <w:pStyle w:val="2"/>
        <w:rPr>
          <w:sz w:val="30"/>
          <w:szCs w:val="30"/>
          <w:lang w:val="uk-UA"/>
        </w:rPr>
      </w:pPr>
      <w:bookmarkStart w:id="4" w:name="_Toc3"/>
      <w:r w:rsidRPr="00FC55DB">
        <w:rPr>
          <w:rFonts w:eastAsia="Arial Unicode MS" w:cs="Arial Unicode MS"/>
          <w:sz w:val="30"/>
          <w:szCs w:val="30"/>
          <w:lang w:val="uk-UA"/>
        </w:rPr>
        <w:t>1.2. Поліморфізми генів, асоційовані з жировим обміном</w:t>
      </w:r>
      <w:bookmarkEnd w:id="4"/>
    </w:p>
    <w:p w:rsidR="003C0557" w:rsidRDefault="003C0557">
      <w:pPr>
        <w:pStyle w:val="Default"/>
        <w:spacing w:before="0" w:line="360" w:lineRule="auto"/>
        <w:ind w:firstLine="720"/>
        <w:jc w:val="both"/>
        <w:rPr>
          <w:rFonts w:ascii="Times New Roman" w:eastAsia="Times New Roman" w:hAnsi="Times New Roman" w:cs="Times New Roman"/>
          <w:sz w:val="28"/>
          <w:szCs w:val="28"/>
        </w:rPr>
      </w:pP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Генетичні фактори відіграють ключову роль у регуляції жирового обміну та визначають індивідуальні особливості накопичення, мобілізації й утилізації ліпідів. Сучасні дослідження показали, що варіації у нуклеотидній послідовності певних генів — так звані поліморфізми — можуть суттєво впливати на схильність людини до ожиріння, дисліпідемії чи метаболічного синдрому. Такі зміни не завжди </w:t>
      </w:r>
      <w:r>
        <w:rPr>
          <w:rFonts w:ascii="Times New Roman" w:hAnsi="Times New Roman"/>
          <w:sz w:val="28"/>
          <w:szCs w:val="28"/>
        </w:rPr>
        <w:lastRenderedPageBreak/>
        <w:t>викликають патологію безпосередньо, проте здатні змінювати експресію генів або функціональну активність білків, що беруть участь у метаболізмі жирів.</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Завдяки широкомасштабним дослідженням асоціацій усього геному встановлено, що до контролю жирового обміну</w:t>
      </w:r>
      <w:r w:rsidRPr="00FC55DB">
        <w:rPr>
          <w:rFonts w:ascii="Times New Roman" w:hAnsi="Times New Roman"/>
          <w:sz w:val="28"/>
          <w:szCs w:val="28"/>
        </w:rPr>
        <w:t xml:space="preserve"> залучено </w:t>
      </w:r>
      <w:r>
        <w:rPr>
          <w:rFonts w:ascii="Times New Roman" w:hAnsi="Times New Roman"/>
          <w:sz w:val="28"/>
          <w:szCs w:val="28"/>
        </w:rPr>
        <w:t>багато генетичних факторів: на сьогодні ідентифіковано понад п’ятсот генетичних локусів, які асоційовані з індексом маси тіла, обсягом жирової тканини або особливостями її розподілу. При цьому для окремих фенотипів, зокрема для індексу маси тіла, описано щонайменше дев’яносто сім локусів, що досягли високого рівня статистичної значущості. Варто підкреслити, що не всі локуси можуть бути однозначно прив’язані до конкретного гена, оскільки частина з них охоплює регуляторні ділянки, а не кодувальні послідовності. Додатково аналіз рідкісних генетичних варіантів дозволив виявити нові гени, що також відіграють роль у контролі енергетичного балансу та жирового метаболізму. Усе це свідчить про те, що ожиріння є полігенно зумовленим станом</w:t>
      </w:r>
      <w:r w:rsidRPr="00FC55DB">
        <w:rPr>
          <w:rFonts w:ascii="Times New Roman" w:hAnsi="Times New Roman"/>
          <w:sz w:val="28"/>
          <w:szCs w:val="28"/>
          <w:lang w:val="ru-RU"/>
        </w:rPr>
        <w:t xml:space="preserve"> [3]</w:t>
      </w:r>
      <w:r>
        <w:rPr>
          <w:rFonts w:ascii="Times New Roman" w:hAnsi="Times New Roman"/>
          <w:sz w:val="28"/>
          <w:szCs w:val="28"/>
        </w:rPr>
        <w:t>.</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Одним із найбільш досліджених є </w:t>
      </w:r>
      <w:r w:rsidRPr="00566491">
        <w:rPr>
          <w:rFonts w:ascii="Times New Roman" w:hAnsi="Times New Roman"/>
          <w:color w:val="auto"/>
          <w:sz w:val="28"/>
          <w:szCs w:val="28"/>
        </w:rPr>
        <w:t>ген</w:t>
      </w:r>
      <w:r w:rsidRPr="00566491">
        <w:rPr>
          <w:rFonts w:ascii="Times New Roman" w:hAnsi="Times New Roman"/>
          <w:color w:val="auto"/>
          <w:sz w:val="28"/>
          <w:szCs w:val="28"/>
          <w:u w:color="FF0000"/>
        </w:rPr>
        <w:t xml:space="preserve"> </w:t>
      </w:r>
      <w:r w:rsidR="00566491" w:rsidRPr="00566491">
        <w:rPr>
          <w:rFonts w:ascii="Times New Roman" w:hAnsi="Times New Roman"/>
          <w:color w:val="auto"/>
          <w:sz w:val="28"/>
          <w:szCs w:val="28"/>
          <w:u w:color="FF0000"/>
          <w:lang w:val="en-US"/>
        </w:rPr>
        <w:t xml:space="preserve">FTO </w:t>
      </w:r>
      <w:r>
        <w:rPr>
          <w:rFonts w:ascii="Times New Roman" w:hAnsi="Times New Roman"/>
          <w:sz w:val="28"/>
          <w:szCs w:val="28"/>
          <w:lang w:val="en-US"/>
        </w:rPr>
        <w:t xml:space="preserve">(fat mass and obesity associated gene). </w:t>
      </w:r>
      <w:r>
        <w:rPr>
          <w:rFonts w:ascii="Times New Roman" w:hAnsi="Times New Roman"/>
          <w:sz w:val="28"/>
          <w:szCs w:val="28"/>
        </w:rPr>
        <w:t>Поліморфізми цього гена (зокрема варіант rs9939609) асоційовані з підвищеним індексом маси тіла, більшою кількістю жирової тканини та схильністю до переїдання. Вважається, що носії ризикових алелей мають змінений контроль апетиту та енергетичного балансу, що може призводити до позитивного енергетичного балансу навіть при звичайному харчуванні.</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Не менш важливу роль відіграє ген LEP, що кодує лептин — гормон адипоцитів, який сигналізує центральній нервовій системі про рівень енергетичних запасів. Поліморфізми LEP або його рецептора LEPR здатні змінювати чутливість організму до лептину, що проявляється резистентністю до цього гормону. У таких випадках навіть високий рівень лептину не пригнічує апетит, що сприяє надмірному накопиченню жиру </w:t>
      </w:r>
      <w:r>
        <w:rPr>
          <w:rFonts w:ascii="Times New Roman" w:hAnsi="Times New Roman"/>
          <w:sz w:val="28"/>
          <w:szCs w:val="28"/>
          <w:lang w:val="pt-PT"/>
        </w:rPr>
        <w:t>[11].</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Значний інтерес становить також ген </w:t>
      </w:r>
      <w:r>
        <w:rPr>
          <w:rFonts w:ascii="Times New Roman" w:hAnsi="Times New Roman"/>
          <w:sz w:val="28"/>
          <w:szCs w:val="28"/>
          <w:lang w:val="da-DK"/>
        </w:rPr>
        <w:t xml:space="preserve">ADRB3, </w:t>
      </w:r>
      <w:r>
        <w:rPr>
          <w:rFonts w:ascii="Times New Roman" w:hAnsi="Times New Roman"/>
          <w:sz w:val="28"/>
          <w:szCs w:val="28"/>
        </w:rPr>
        <w:t>який кодує β3-</w:t>
      </w:r>
      <w:r w:rsidRPr="00FC55DB">
        <w:rPr>
          <w:rFonts w:ascii="Times New Roman" w:hAnsi="Times New Roman"/>
          <w:sz w:val="28"/>
          <w:szCs w:val="28"/>
        </w:rPr>
        <w:t>адренорецептор</w:t>
      </w:r>
      <w:r>
        <w:rPr>
          <w:rFonts w:ascii="Times New Roman" w:hAnsi="Times New Roman"/>
          <w:sz w:val="28"/>
          <w:szCs w:val="28"/>
        </w:rPr>
        <w:t xml:space="preserve">, відповідальний за активацію ліполізу під дією катехоламінів. Поліморфний варіант </w:t>
      </w:r>
      <w:r>
        <w:rPr>
          <w:rFonts w:ascii="Times New Roman" w:hAnsi="Times New Roman"/>
          <w:sz w:val="28"/>
          <w:szCs w:val="28"/>
          <w:lang w:val="nl-NL"/>
        </w:rPr>
        <w:t xml:space="preserve">Trp64Arg </w:t>
      </w:r>
      <w:r>
        <w:rPr>
          <w:rFonts w:ascii="Times New Roman" w:hAnsi="Times New Roman"/>
          <w:sz w:val="28"/>
          <w:szCs w:val="28"/>
        </w:rPr>
        <w:t xml:space="preserve">у цьому гені пов’язують зі зниженням ефективності ліполітичної відповіді. За даними узагальнених клініко-генетичних досліджень, носії алеля </w:t>
      </w:r>
      <w:r>
        <w:rPr>
          <w:rFonts w:ascii="Times New Roman" w:hAnsi="Times New Roman"/>
          <w:sz w:val="28"/>
          <w:szCs w:val="28"/>
          <w:lang w:val="nl-NL"/>
        </w:rPr>
        <w:lastRenderedPageBreak/>
        <w:t>Arg64</w:t>
      </w:r>
      <w:r>
        <w:rPr>
          <w:rFonts w:ascii="Times New Roman" w:hAnsi="Times New Roman"/>
          <w:sz w:val="28"/>
          <w:szCs w:val="28"/>
        </w:rPr>
        <w:t>можуть мати у середньому на 10–</w:t>
      </w:r>
      <w:r>
        <w:rPr>
          <w:rFonts w:ascii="Times New Roman" w:hAnsi="Times New Roman"/>
          <w:sz w:val="28"/>
          <w:szCs w:val="28"/>
          <w:lang w:val="fr-FR"/>
        </w:rPr>
        <w:t xml:space="preserve">20 % </w:t>
      </w:r>
      <w:r>
        <w:rPr>
          <w:rFonts w:ascii="Times New Roman" w:hAnsi="Times New Roman"/>
          <w:sz w:val="28"/>
          <w:szCs w:val="28"/>
        </w:rPr>
        <w:t>нижчу активність ліполізу, що проявляється підвищеною на 15–</w:t>
      </w:r>
      <w:r>
        <w:rPr>
          <w:rFonts w:ascii="Times New Roman" w:hAnsi="Times New Roman"/>
          <w:sz w:val="28"/>
          <w:szCs w:val="28"/>
          <w:lang w:val="fr-FR"/>
        </w:rPr>
        <w:t xml:space="preserve">25 % </w:t>
      </w:r>
      <w:r>
        <w:rPr>
          <w:rFonts w:ascii="Times New Roman" w:hAnsi="Times New Roman"/>
          <w:sz w:val="28"/>
          <w:szCs w:val="28"/>
        </w:rPr>
        <w:t>схильністю до накопичення жирової тканини, передусім у вісцеральному депо. Зазначені відсоткові значення характеризують не абсолютні зміни, а відносний ризик порівняно з особами без цього варіанта, що зумовлює різні фенотипові прояви залежно від рівня фізичної активності, харчової поведінки та інших метаболічних чинників</w:t>
      </w:r>
      <w:r w:rsidRPr="00FC55DB">
        <w:rPr>
          <w:rFonts w:ascii="Times New Roman" w:hAnsi="Times New Roman"/>
          <w:sz w:val="28"/>
          <w:szCs w:val="28"/>
        </w:rPr>
        <w:t xml:space="preserve"> [6]</w:t>
      </w:r>
      <w:r>
        <w:rPr>
          <w:rFonts w:ascii="Times New Roman" w:hAnsi="Times New Roman"/>
          <w:sz w:val="28"/>
          <w:szCs w:val="28"/>
        </w:rPr>
        <w:t>.</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Важливим геном жирового обміну є </w:t>
      </w:r>
      <w:r>
        <w:rPr>
          <w:rFonts w:ascii="Times New Roman" w:hAnsi="Times New Roman"/>
          <w:sz w:val="28"/>
          <w:szCs w:val="28"/>
          <w:lang w:val="es-ES_tradnl"/>
        </w:rPr>
        <w:t>PPAR</w:t>
      </w:r>
      <w:r>
        <w:rPr>
          <w:rFonts w:ascii="Times New Roman" w:hAnsi="Times New Roman"/>
          <w:sz w:val="28"/>
          <w:szCs w:val="28"/>
        </w:rPr>
        <w:t xml:space="preserve">γ </w:t>
      </w:r>
      <w:r>
        <w:rPr>
          <w:rFonts w:ascii="Times New Roman" w:hAnsi="Times New Roman"/>
          <w:sz w:val="28"/>
          <w:szCs w:val="28"/>
          <w:lang w:val="en-US"/>
        </w:rPr>
        <w:t xml:space="preserve">(peroxisome proliferator-activated receptor gamma). </w:t>
      </w:r>
      <w:r>
        <w:rPr>
          <w:rFonts w:ascii="Times New Roman" w:hAnsi="Times New Roman"/>
          <w:sz w:val="28"/>
          <w:szCs w:val="28"/>
        </w:rPr>
        <w:t xml:space="preserve">Це транскрипційний фактор, який регулює диференціацію адипоцитів та чутливість тканин до інсуліну. Поліморфізм Pro12Ala (rs1801282) у гені </w:t>
      </w:r>
      <w:r>
        <w:rPr>
          <w:rFonts w:ascii="Times New Roman" w:hAnsi="Times New Roman"/>
          <w:sz w:val="28"/>
          <w:szCs w:val="28"/>
          <w:lang w:val="es-ES_tradnl"/>
        </w:rPr>
        <w:t>PPAR</w:t>
      </w:r>
      <w:r>
        <w:rPr>
          <w:rFonts w:ascii="Times New Roman" w:hAnsi="Times New Roman"/>
          <w:sz w:val="28"/>
          <w:szCs w:val="28"/>
        </w:rPr>
        <w:t>γ асоціюється зі зниженим ризиком розвитку цукрового діабету 2 типу та більш сприятливим ліпідним профілем, що вказує на його захисну роль у метаболічних порушеннях</w:t>
      </w:r>
      <w:r w:rsidRPr="00FC55DB">
        <w:rPr>
          <w:rFonts w:ascii="Times New Roman" w:hAnsi="Times New Roman"/>
          <w:sz w:val="28"/>
          <w:szCs w:val="28"/>
        </w:rPr>
        <w:t xml:space="preserve"> [18]</w:t>
      </w:r>
      <w:r>
        <w:rPr>
          <w:rFonts w:ascii="Times New Roman" w:hAnsi="Times New Roman"/>
          <w:sz w:val="28"/>
          <w:szCs w:val="28"/>
        </w:rPr>
        <w:t>.</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Серед інших генів, що беруть участь у регуляції ліпідного обміну, слід згадати</w:t>
      </w:r>
      <w:r w:rsidRPr="00FC55DB">
        <w:rPr>
          <w:rFonts w:ascii="Times New Roman" w:hAnsi="Times New Roman"/>
          <w:sz w:val="28"/>
          <w:szCs w:val="28"/>
          <w:lang w:val="ru-RU"/>
        </w:rPr>
        <w:t xml:space="preserve"> [4]</w:t>
      </w:r>
      <w:r>
        <w:rPr>
          <w:rFonts w:ascii="Times New Roman" w:hAnsi="Times New Roman"/>
          <w:sz w:val="28"/>
          <w:szCs w:val="28"/>
        </w:rPr>
        <w:t>:</w:t>
      </w:r>
    </w:p>
    <w:p w:rsidR="003C0557" w:rsidRDefault="00030A4E">
      <w:pPr>
        <w:pStyle w:val="Default"/>
        <w:numPr>
          <w:ilvl w:val="0"/>
          <w:numId w:val="7"/>
        </w:numPr>
        <w:spacing w:before="0" w:line="360" w:lineRule="auto"/>
        <w:jc w:val="both"/>
        <w:rPr>
          <w:rFonts w:ascii="Times New Roman" w:hAnsi="Times New Roman"/>
          <w:sz w:val="28"/>
          <w:szCs w:val="28"/>
          <w:lang w:val="de-DE"/>
        </w:rPr>
      </w:pPr>
      <w:r>
        <w:rPr>
          <w:rFonts w:ascii="Times New Roman" w:hAnsi="Times New Roman"/>
          <w:sz w:val="28"/>
          <w:szCs w:val="28"/>
          <w:lang w:val="de-DE"/>
        </w:rPr>
        <w:t xml:space="preserve">APOE (apolipoprotein E) </w:t>
      </w:r>
      <w:r>
        <w:rPr>
          <w:rFonts w:ascii="Times New Roman" w:hAnsi="Times New Roman"/>
          <w:sz w:val="28"/>
          <w:szCs w:val="28"/>
        </w:rPr>
        <w:t>— поліморфізми цього гена визначають варіації у транспорті холестерину та асоційовані з ризиком атеросклерозу й серцево-судинних захворювань.</w:t>
      </w:r>
    </w:p>
    <w:p w:rsidR="003C0557" w:rsidRPr="00FC55DB" w:rsidRDefault="00030A4E">
      <w:pPr>
        <w:pStyle w:val="Default"/>
        <w:numPr>
          <w:ilvl w:val="0"/>
          <w:numId w:val="7"/>
        </w:numPr>
        <w:spacing w:before="0" w:line="360" w:lineRule="auto"/>
        <w:jc w:val="both"/>
        <w:rPr>
          <w:rFonts w:ascii="Times New Roman" w:hAnsi="Times New Roman"/>
          <w:sz w:val="28"/>
          <w:szCs w:val="28"/>
          <w:lang w:val="de-DE"/>
        </w:rPr>
      </w:pPr>
      <w:r w:rsidRPr="00FC55DB">
        <w:rPr>
          <w:rFonts w:ascii="Times New Roman" w:hAnsi="Times New Roman"/>
          <w:sz w:val="28"/>
          <w:szCs w:val="28"/>
          <w:lang w:val="de-DE"/>
        </w:rPr>
        <w:t xml:space="preserve">FABP2 (fatty acid binding protein 2) </w:t>
      </w:r>
      <w:r>
        <w:rPr>
          <w:rFonts w:ascii="Times New Roman" w:hAnsi="Times New Roman"/>
          <w:sz w:val="28"/>
          <w:szCs w:val="28"/>
        </w:rPr>
        <w:t xml:space="preserve">— варіант </w:t>
      </w:r>
      <w:r>
        <w:rPr>
          <w:rFonts w:ascii="Times New Roman" w:hAnsi="Times New Roman"/>
          <w:sz w:val="28"/>
          <w:szCs w:val="28"/>
          <w:lang w:val="de-DE"/>
        </w:rPr>
        <w:t xml:space="preserve">Ala54Thr </w:t>
      </w:r>
      <w:r>
        <w:rPr>
          <w:rFonts w:ascii="Times New Roman" w:hAnsi="Times New Roman"/>
          <w:sz w:val="28"/>
          <w:szCs w:val="28"/>
        </w:rPr>
        <w:t>впливає на абсорбцію жирних кислот у кишечнику й може змінювати індивідуальну реакцію на дієту з високим вмістом жирів.</w:t>
      </w:r>
    </w:p>
    <w:p w:rsidR="003C0557" w:rsidRPr="00FC55DB" w:rsidRDefault="00030A4E">
      <w:pPr>
        <w:pStyle w:val="Default"/>
        <w:numPr>
          <w:ilvl w:val="0"/>
          <w:numId w:val="7"/>
        </w:numPr>
        <w:spacing w:before="0" w:line="360" w:lineRule="auto"/>
        <w:jc w:val="both"/>
        <w:rPr>
          <w:rFonts w:ascii="Times New Roman" w:hAnsi="Times New Roman"/>
          <w:sz w:val="28"/>
          <w:szCs w:val="28"/>
          <w:lang w:val="de-DE"/>
        </w:rPr>
      </w:pPr>
      <w:r w:rsidRPr="00FC55DB">
        <w:rPr>
          <w:rFonts w:ascii="Times New Roman" w:hAnsi="Times New Roman"/>
          <w:sz w:val="28"/>
          <w:szCs w:val="28"/>
          <w:lang w:val="de-DE"/>
        </w:rPr>
        <w:t xml:space="preserve">UCP1, UCP2, UCP3 (uncoupling proteins) </w:t>
      </w:r>
      <w:r>
        <w:rPr>
          <w:rFonts w:ascii="Times New Roman" w:hAnsi="Times New Roman"/>
          <w:sz w:val="28"/>
          <w:szCs w:val="28"/>
        </w:rPr>
        <w:t>— регулюють термогенез і витрати енергії; їхні поліморфізми асоціюються з різними темпами окислення жирів та схильністю до ожиріння.</w:t>
      </w:r>
    </w:p>
    <w:p w:rsidR="003C0557" w:rsidRPr="00FC55DB" w:rsidRDefault="00030A4E" w:rsidP="00755B86">
      <w:pPr>
        <w:pStyle w:val="Default"/>
        <w:spacing w:before="0" w:line="360" w:lineRule="auto"/>
        <w:ind w:firstLine="720"/>
        <w:jc w:val="both"/>
        <w:rPr>
          <w:rFonts w:hint="eastAsia"/>
        </w:rPr>
      </w:pPr>
      <w:r>
        <w:rPr>
          <w:rFonts w:ascii="Times New Roman" w:hAnsi="Times New Roman"/>
          <w:sz w:val="28"/>
          <w:szCs w:val="28"/>
        </w:rPr>
        <w:t>Отже, поліморфізми генів, залучених у регуляцію жирового обміну, формують унікальний «генетичний профіль» кожної людини. Це пояснює, чому навіть при подібних умовах харчування та фізичної активності одні люди схильні до набору маси тіла, тоді як інші залишаються стрункими. Дослідження таких варіацій відкриває можливість персоналізованого підходу до профілактики та лікування ожиріння, включно з індивідуальним підбором дієти, фізичних навантажень та фармакологічних засобів.</w:t>
      </w:r>
    </w:p>
    <w:tbl>
      <w:tblPr>
        <w:tblStyle w:val="TableNormal"/>
        <w:tblW w:w="9632"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00A2FF"/>
        <w:tblLayout w:type="fixed"/>
        <w:tblLook w:val="04A0" w:firstRow="1" w:lastRow="0" w:firstColumn="1" w:lastColumn="0" w:noHBand="0" w:noVBand="1"/>
      </w:tblPr>
      <w:tblGrid>
        <w:gridCol w:w="1900"/>
        <w:gridCol w:w="1771"/>
        <w:gridCol w:w="2092"/>
        <w:gridCol w:w="3869"/>
      </w:tblGrid>
      <w:tr w:rsidR="003C0557" w:rsidRPr="007B28A0">
        <w:trPr>
          <w:trHeight w:val="643"/>
          <w:tblHeader/>
        </w:trPr>
        <w:tc>
          <w:tcPr>
            <w:tcW w:w="9632" w:type="dxa"/>
            <w:gridSpan w:val="4"/>
            <w:tcBorders>
              <w:top w:val="nil"/>
              <w:left w:val="nil"/>
              <w:bottom w:val="single" w:sz="4" w:space="0" w:color="000000"/>
              <w:right w:val="nil"/>
            </w:tcBorders>
            <w:shd w:val="clear" w:color="auto" w:fill="auto"/>
            <w:tcMar>
              <w:top w:w="80" w:type="dxa"/>
              <w:left w:w="80" w:type="dxa"/>
              <w:bottom w:w="80" w:type="dxa"/>
              <w:right w:w="80" w:type="dxa"/>
            </w:tcMar>
            <w:vAlign w:val="center"/>
          </w:tcPr>
          <w:p w:rsidR="003C0557" w:rsidRPr="00FC55DB" w:rsidRDefault="00030A4E">
            <w:pPr>
              <w:jc w:val="right"/>
              <w:rPr>
                <w:lang w:val="uk-UA"/>
              </w:rPr>
            </w:pPr>
            <w:r w:rsidRPr="00FC55DB">
              <w:rPr>
                <w:i/>
                <w:iCs/>
                <w:sz w:val="28"/>
                <w:szCs w:val="28"/>
                <w:lang w:val="uk-UA"/>
              </w:rPr>
              <w:lastRenderedPageBreak/>
              <w:t>Таблиця 1.1. Основні гени та їхні поліморфізми, асоційовані з жировим обміном</w:t>
            </w:r>
          </w:p>
        </w:tc>
      </w:tr>
      <w:tr w:rsidR="003C0557" w:rsidRPr="007B28A0">
        <w:tblPrEx>
          <w:shd w:val="clear" w:color="auto" w:fill="CADFFF"/>
        </w:tblPrEx>
        <w:trPr>
          <w:trHeight w:val="888"/>
        </w:trPr>
        <w:tc>
          <w:tcPr>
            <w:tcW w:w="19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Ген / білок</w:t>
            </w:r>
          </w:p>
        </w:tc>
        <w:tc>
          <w:tcPr>
            <w:tcW w:w="17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Поліморфізм (найчастіше досліджений)</w:t>
            </w:r>
          </w:p>
        </w:tc>
        <w:tc>
          <w:tcPr>
            <w:tcW w:w="2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Біологічна роль</w:t>
            </w:r>
          </w:p>
        </w:tc>
        <w:tc>
          <w:tcPr>
            <w:tcW w:w="38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Потенційний вплив на жировий обмін і масу тіла</w:t>
            </w:r>
          </w:p>
        </w:tc>
      </w:tr>
      <w:tr w:rsidR="003C0557" w:rsidRPr="007B28A0">
        <w:tblPrEx>
          <w:shd w:val="clear" w:color="auto" w:fill="CADFFF"/>
        </w:tblPrEx>
        <w:trPr>
          <w:trHeight w:val="850"/>
        </w:trPr>
        <w:tc>
          <w:tcPr>
            <w:tcW w:w="19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FTO (fat mass and obesity associated gene)</w:t>
            </w:r>
          </w:p>
        </w:tc>
        <w:tc>
          <w:tcPr>
            <w:tcW w:w="17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rs9939609 (A/T)</w:t>
            </w:r>
          </w:p>
        </w:tc>
        <w:tc>
          <w:tcPr>
            <w:tcW w:w="2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Регуляція апетиту, енергетичного балансу</w:t>
            </w:r>
          </w:p>
        </w:tc>
        <w:tc>
          <w:tcPr>
            <w:tcW w:w="38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Варіант A асоційований з підвищеним ІМТ, схильністю до переїдання</w:t>
            </w:r>
          </w:p>
        </w:tc>
      </w:tr>
      <w:tr w:rsidR="003C0557">
        <w:tblPrEx>
          <w:shd w:val="clear" w:color="auto" w:fill="CADFFF"/>
        </w:tblPrEx>
        <w:trPr>
          <w:trHeight w:val="570"/>
        </w:trPr>
        <w:tc>
          <w:tcPr>
            <w:tcW w:w="19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LEP (лептин)</w:t>
            </w:r>
          </w:p>
        </w:tc>
        <w:tc>
          <w:tcPr>
            <w:tcW w:w="17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-2548G/A</w:t>
            </w:r>
          </w:p>
        </w:tc>
        <w:tc>
          <w:tcPr>
            <w:tcW w:w="2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Секреція гормону ситості</w:t>
            </w:r>
          </w:p>
        </w:tc>
        <w:tc>
          <w:tcPr>
            <w:tcW w:w="38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Порушення регуляції апетиту, лептинорезистентність</w:t>
            </w:r>
          </w:p>
        </w:tc>
      </w:tr>
      <w:tr w:rsidR="003C0557" w:rsidRPr="007B28A0">
        <w:tblPrEx>
          <w:shd w:val="clear" w:color="auto" w:fill="CADFFF"/>
        </w:tblPrEx>
        <w:trPr>
          <w:trHeight w:val="850"/>
        </w:trPr>
        <w:tc>
          <w:tcPr>
            <w:tcW w:w="19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LEPR (рецептор лептину)</w:t>
            </w:r>
          </w:p>
        </w:tc>
        <w:tc>
          <w:tcPr>
            <w:tcW w:w="17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Gln223Arg</w:t>
            </w:r>
          </w:p>
        </w:tc>
        <w:tc>
          <w:tcPr>
            <w:tcW w:w="2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Передача сигналу лептину</w:t>
            </w:r>
          </w:p>
        </w:tc>
        <w:tc>
          <w:tcPr>
            <w:tcW w:w="38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Знижена чутливість до лептину, схильність до ожиріння</w:t>
            </w:r>
          </w:p>
        </w:tc>
      </w:tr>
      <w:tr w:rsidR="003C0557" w:rsidRPr="007B28A0">
        <w:tblPrEx>
          <w:shd w:val="clear" w:color="auto" w:fill="CADFFF"/>
        </w:tblPrEx>
        <w:trPr>
          <w:trHeight w:val="850"/>
        </w:trPr>
        <w:tc>
          <w:tcPr>
            <w:tcW w:w="19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ADRB3 (β3-адренорецептор)</w:t>
            </w:r>
          </w:p>
        </w:tc>
        <w:tc>
          <w:tcPr>
            <w:tcW w:w="17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Trp64Arg</w:t>
            </w:r>
          </w:p>
        </w:tc>
        <w:tc>
          <w:tcPr>
            <w:tcW w:w="2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Активація ліполізу катехоламінами</w:t>
            </w:r>
          </w:p>
        </w:tc>
        <w:tc>
          <w:tcPr>
            <w:tcW w:w="38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Знижений розпад жиру, підвищене відкладання вісцеральної жирової тканини</w:t>
            </w:r>
          </w:p>
        </w:tc>
      </w:tr>
      <w:tr w:rsidR="003C0557" w:rsidRPr="007B28A0">
        <w:tblPrEx>
          <w:shd w:val="clear" w:color="auto" w:fill="CADFFF"/>
        </w:tblPrEx>
        <w:trPr>
          <w:trHeight w:val="1130"/>
        </w:trPr>
        <w:tc>
          <w:tcPr>
            <w:tcW w:w="19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PPARγ (пероксисомний рецептор)</w:t>
            </w:r>
          </w:p>
        </w:tc>
        <w:tc>
          <w:tcPr>
            <w:tcW w:w="17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Pro12Ala (rs1801282)</w:t>
            </w:r>
          </w:p>
        </w:tc>
        <w:tc>
          <w:tcPr>
            <w:tcW w:w="2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Диференціація адипоцитів, чутливість до інсуліну</w:t>
            </w:r>
          </w:p>
        </w:tc>
        <w:tc>
          <w:tcPr>
            <w:tcW w:w="38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Ala-варіант асоційований із покращеним ліпідним профілем, меншим ризиком діабету 2 типу</w:t>
            </w:r>
          </w:p>
        </w:tc>
      </w:tr>
      <w:tr w:rsidR="003C0557" w:rsidRPr="007B28A0">
        <w:tblPrEx>
          <w:shd w:val="clear" w:color="auto" w:fill="CADFFF"/>
        </w:tblPrEx>
        <w:trPr>
          <w:trHeight w:val="850"/>
        </w:trPr>
        <w:tc>
          <w:tcPr>
            <w:tcW w:w="19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APOE (аполіпопротеїн E)</w:t>
            </w:r>
          </w:p>
        </w:tc>
        <w:tc>
          <w:tcPr>
            <w:tcW w:w="17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ε2, ε3, ε4 алелі</w:t>
            </w:r>
          </w:p>
        </w:tc>
        <w:tc>
          <w:tcPr>
            <w:tcW w:w="2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Транспорт холестерину і ліпопротеїнів</w:t>
            </w:r>
          </w:p>
        </w:tc>
        <w:tc>
          <w:tcPr>
            <w:tcW w:w="38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ε4-алель підвищує ризик атеросклерозу й гіперліпідемії</w:t>
            </w:r>
          </w:p>
        </w:tc>
      </w:tr>
      <w:tr w:rsidR="003C0557" w:rsidRPr="007B28A0">
        <w:tblPrEx>
          <w:shd w:val="clear" w:color="auto" w:fill="CADFFF"/>
        </w:tblPrEx>
        <w:trPr>
          <w:trHeight w:val="1130"/>
        </w:trPr>
        <w:tc>
          <w:tcPr>
            <w:tcW w:w="19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FABP2 (білок, що зв’язує жирні кислоти 2)</w:t>
            </w:r>
          </w:p>
        </w:tc>
        <w:tc>
          <w:tcPr>
            <w:tcW w:w="17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Ala54Thr</w:t>
            </w:r>
          </w:p>
        </w:tc>
        <w:tc>
          <w:tcPr>
            <w:tcW w:w="2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Абсорбція жирних кислот у кишечнику</w:t>
            </w:r>
          </w:p>
        </w:tc>
        <w:tc>
          <w:tcPr>
            <w:tcW w:w="38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Thr-варіант підвищує засвоєння жирів, асоціюється з ожирінням</w:t>
            </w:r>
          </w:p>
        </w:tc>
      </w:tr>
      <w:tr w:rsidR="003C0557" w:rsidRPr="007B28A0">
        <w:tblPrEx>
          <w:shd w:val="clear" w:color="auto" w:fill="CADFFF"/>
        </w:tblPrEx>
        <w:trPr>
          <w:trHeight w:val="1130"/>
        </w:trPr>
        <w:tc>
          <w:tcPr>
            <w:tcW w:w="19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b/>
                <w:bCs/>
                <w:lang w:val="uk-UA"/>
              </w:rPr>
              <w:t>UCP1, UCP2, UCP3 (роз’єднувальні білки)</w:t>
            </w:r>
          </w:p>
        </w:tc>
        <w:tc>
          <w:tcPr>
            <w:tcW w:w="177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різні варіанти</w:t>
            </w:r>
          </w:p>
        </w:tc>
        <w:tc>
          <w:tcPr>
            <w:tcW w:w="20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Регуляція термогенезу та окислення жирів</w:t>
            </w:r>
          </w:p>
        </w:tc>
        <w:tc>
          <w:tcPr>
            <w:tcW w:w="38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C0557" w:rsidRPr="00634719" w:rsidRDefault="00030A4E">
            <w:pPr>
              <w:rPr>
                <w:lang w:val="uk-UA"/>
              </w:rPr>
            </w:pPr>
            <w:r w:rsidRPr="00634719">
              <w:rPr>
                <w:rFonts w:ascii="Times Roman" w:hAnsi="Times Roman"/>
                <w:lang w:val="uk-UA"/>
              </w:rPr>
              <w:t>Поліморфізми змінюють швидкість енергетичних витрат і термогенез</w:t>
            </w:r>
          </w:p>
        </w:tc>
      </w:tr>
    </w:tbl>
    <w:p w:rsidR="003C0557" w:rsidRPr="00496676" w:rsidRDefault="003C0557">
      <w:pPr>
        <w:widowControl w:val="0"/>
        <w:ind w:left="108" w:hanging="108"/>
        <w:rPr>
          <w:sz w:val="28"/>
          <w:szCs w:val="28"/>
          <w:lang w:val="uk-UA"/>
        </w:rPr>
      </w:pPr>
    </w:p>
    <w:p w:rsidR="003C0557" w:rsidRDefault="003C0557">
      <w:pPr>
        <w:pStyle w:val="Default"/>
        <w:spacing w:before="0" w:line="360" w:lineRule="auto"/>
        <w:ind w:firstLine="720"/>
        <w:jc w:val="both"/>
        <w:rPr>
          <w:rFonts w:ascii="Times New Roman" w:eastAsia="Times New Roman" w:hAnsi="Times New Roman" w:cs="Times New Roman"/>
          <w:sz w:val="28"/>
          <w:szCs w:val="28"/>
        </w:rPr>
      </w:pP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У дослідженні Мазур та співавторів (2023) підкреслюється важливість фізичних вправ як ефективного засобу корекції маси тіла та метаболічних порушень при генетично обумовленому ожирінні та цукровому діабеті. Автори зазначають, що індивідуальні особливості організму, включно зі спадковими факторами, морфологічними та метаболічними характеристиками, значною мірою визначають результативність тренувального процесу. Регламентовані фізичні навантаження </w:t>
      </w:r>
      <w:r>
        <w:rPr>
          <w:rFonts w:ascii="Times New Roman" w:hAnsi="Times New Roman"/>
          <w:sz w:val="28"/>
          <w:szCs w:val="28"/>
        </w:rPr>
        <w:lastRenderedPageBreak/>
        <w:t>здатні зменшувати прояви ожиріння та поліпшувати глікемічний контроль у хворих на цукровий діабет 2 типу, проте їх ефективність у пацієнтів із генетично обумовленими порушеннями метаболізму встановлена лише частково (</w:t>
      </w:r>
      <w:r w:rsidRPr="00FC55DB">
        <w:rPr>
          <w:rFonts w:ascii="Times New Roman" w:hAnsi="Times New Roman"/>
          <w:sz w:val="28"/>
          <w:szCs w:val="28"/>
        </w:rPr>
        <w:t>Мазур Ю</w:t>
      </w:r>
      <w:r>
        <w:rPr>
          <w:rFonts w:ascii="Times New Roman" w:hAnsi="Times New Roman"/>
          <w:sz w:val="28"/>
          <w:szCs w:val="28"/>
        </w:rPr>
        <w:t>.Ю. та співавт., 2023).</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В роботі детально аналізується роль генетичних факторів у розвитку як моногенного, так і полігенного ожиріння, а також визначаються ключові гени, що впливають на енергетичний баланс та апетит. До моногенних форм ожиріння відносять мутації в генах </w:t>
      </w:r>
      <w:r>
        <w:rPr>
          <w:rFonts w:ascii="Times New Roman" w:hAnsi="Times New Roman"/>
          <w:sz w:val="28"/>
          <w:szCs w:val="28"/>
          <w:lang w:val="de-DE"/>
        </w:rPr>
        <w:t xml:space="preserve">LEP, LEPR, POMC, PCSK1, MC4R, SIM1, BDNF </w:t>
      </w:r>
      <w:r>
        <w:rPr>
          <w:rFonts w:ascii="Times New Roman" w:hAnsi="Times New Roman"/>
          <w:sz w:val="28"/>
          <w:szCs w:val="28"/>
        </w:rPr>
        <w:t xml:space="preserve">та NTRK2, які беруть участь у сигнальних шляхах, що контролюють споживання їжі та витрати енергії. Полігенне ожиріння обумовлене поєднанням несприятливих алелів кількох генів одночасно, зокрема </w:t>
      </w:r>
      <w:r>
        <w:rPr>
          <w:rFonts w:ascii="Times New Roman" w:hAnsi="Times New Roman"/>
          <w:sz w:val="28"/>
          <w:szCs w:val="28"/>
          <w:lang w:val="de-DE"/>
        </w:rPr>
        <w:t xml:space="preserve">MC4R, FTO, INSIG2, ADRB3, BDNF, CNR1, PCSK1 </w:t>
      </w:r>
      <w:r>
        <w:rPr>
          <w:rFonts w:ascii="Times New Roman" w:hAnsi="Times New Roman"/>
          <w:sz w:val="28"/>
          <w:szCs w:val="28"/>
        </w:rPr>
        <w:t xml:space="preserve">та </w:t>
      </w:r>
      <w:r>
        <w:rPr>
          <w:rFonts w:ascii="Times New Roman" w:hAnsi="Times New Roman"/>
          <w:sz w:val="28"/>
          <w:szCs w:val="28"/>
          <w:lang w:val="es-ES_tradnl"/>
        </w:rPr>
        <w:t>PPARG (</w:t>
      </w:r>
      <w:r w:rsidRPr="00FC55DB">
        <w:rPr>
          <w:rFonts w:ascii="Times New Roman" w:hAnsi="Times New Roman"/>
          <w:sz w:val="28"/>
          <w:szCs w:val="28"/>
        </w:rPr>
        <w:t>Мазур Ю</w:t>
      </w:r>
      <w:r>
        <w:rPr>
          <w:rFonts w:ascii="Times New Roman" w:hAnsi="Times New Roman"/>
          <w:sz w:val="28"/>
          <w:szCs w:val="28"/>
        </w:rPr>
        <w:t xml:space="preserve">.Ю. та співавт., 2023). Аналізуючи ці генетичні варіанти, автори підкреслюють необхідність застосування персоналізованого підходу до призначення фізичних вправ, щоб максимізувати їх ефективність у корекції маси тіла та метаболічних порушень </w:t>
      </w:r>
      <w:r>
        <w:rPr>
          <w:rFonts w:ascii="Times New Roman" w:hAnsi="Times New Roman"/>
          <w:sz w:val="28"/>
          <w:szCs w:val="28"/>
          <w:lang w:val="pt-PT"/>
        </w:rPr>
        <w:t>[14].</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Ожиріння та цукровий діабет є складними полігенними станами, у яких одночасно взаємодіють генетичні та екологічні фактори. Оскільки ожиріння має багатофакторну природу, деякі GWAS враховували під час аналізу демографічні фактори, такі як стать і вік, а також екологічні чинники – фізичну активність, харчування та паління. Незважаючи на великі вибірки, що перевищують 200 000 осіб, дослідження взаємодії генів із середовищем (G×E) </w:t>
      </w:r>
      <w:r w:rsidRPr="00FC55DB">
        <w:rPr>
          <w:rFonts w:ascii="Times New Roman" w:hAnsi="Times New Roman"/>
          <w:sz w:val="28"/>
          <w:szCs w:val="28"/>
        </w:rPr>
        <w:t>залишаються складними</w:t>
      </w:r>
      <w:r>
        <w:rPr>
          <w:rFonts w:ascii="Times New Roman" w:hAnsi="Times New Roman"/>
          <w:sz w:val="28"/>
          <w:szCs w:val="28"/>
        </w:rPr>
        <w:t xml:space="preserve">, і наразі було ідентифіковано лише 12 локусів, чий вплив на ожиріння модулюється негенетичними чинниками. Проте взаємодія між локусом </w:t>
      </w:r>
      <w:r>
        <w:rPr>
          <w:rFonts w:ascii="Times New Roman" w:hAnsi="Times New Roman"/>
          <w:sz w:val="28"/>
          <w:szCs w:val="28"/>
          <w:lang w:val="pt-PT"/>
        </w:rPr>
        <w:t xml:space="preserve">FTO </w:t>
      </w:r>
      <w:r>
        <w:rPr>
          <w:rFonts w:ascii="Times New Roman" w:hAnsi="Times New Roman"/>
          <w:sz w:val="28"/>
          <w:szCs w:val="28"/>
        </w:rPr>
        <w:t>та здоровим способом життя показала, що підвищена фізична активність або здорове харчування можуть зменшити ризик ожиріння у носіїв ризикових алелів (</w:t>
      </w:r>
      <w:r w:rsidRPr="00FC55DB">
        <w:rPr>
          <w:rFonts w:ascii="Times New Roman" w:hAnsi="Times New Roman"/>
          <w:sz w:val="28"/>
          <w:szCs w:val="28"/>
        </w:rPr>
        <w:t>Мазур Ю</w:t>
      </w:r>
      <w:r>
        <w:rPr>
          <w:rFonts w:ascii="Times New Roman" w:hAnsi="Times New Roman"/>
          <w:sz w:val="28"/>
          <w:szCs w:val="28"/>
        </w:rPr>
        <w:t>.Ю. та співавт., 2023).</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Генетика цукрового діабету демонструє етіологічну різнорідність: ЦД </w:t>
      </w:r>
      <w:r w:rsidRPr="00FC55DB">
        <w:rPr>
          <w:rFonts w:ascii="Times New Roman" w:hAnsi="Times New Roman"/>
          <w:sz w:val="28"/>
          <w:szCs w:val="28"/>
        </w:rPr>
        <w:t xml:space="preserve">1 </w:t>
      </w:r>
      <w:r>
        <w:rPr>
          <w:rFonts w:ascii="Times New Roman" w:hAnsi="Times New Roman"/>
          <w:sz w:val="28"/>
          <w:szCs w:val="28"/>
        </w:rPr>
        <w:t xml:space="preserve">типу має високу спадкову складову, яку частково визначають алелі </w:t>
      </w:r>
      <w:r>
        <w:rPr>
          <w:rFonts w:ascii="Times New Roman" w:hAnsi="Times New Roman"/>
          <w:sz w:val="28"/>
          <w:szCs w:val="28"/>
          <w:lang w:val="de-DE"/>
        </w:rPr>
        <w:t xml:space="preserve">HLA, </w:t>
      </w:r>
      <w:r>
        <w:rPr>
          <w:rFonts w:ascii="Times New Roman" w:hAnsi="Times New Roman"/>
          <w:sz w:val="28"/>
          <w:szCs w:val="28"/>
        </w:rPr>
        <w:t xml:space="preserve">а решта ризику пояснюється іншими локусами, включно з </w:t>
      </w:r>
      <w:r>
        <w:rPr>
          <w:rFonts w:ascii="Times New Roman" w:hAnsi="Times New Roman"/>
          <w:sz w:val="28"/>
          <w:szCs w:val="28"/>
          <w:lang w:val="de-DE"/>
        </w:rPr>
        <w:t xml:space="preserve">IL2RA, CTLA4 </w:t>
      </w:r>
      <w:r>
        <w:rPr>
          <w:rFonts w:ascii="Times New Roman" w:hAnsi="Times New Roman"/>
          <w:sz w:val="28"/>
          <w:szCs w:val="28"/>
        </w:rPr>
        <w:t xml:space="preserve">та </w:t>
      </w:r>
      <w:r>
        <w:rPr>
          <w:rFonts w:ascii="Times New Roman" w:hAnsi="Times New Roman"/>
          <w:sz w:val="28"/>
          <w:szCs w:val="28"/>
          <w:lang w:val="pt-PT"/>
        </w:rPr>
        <w:t xml:space="preserve">PTPN22. </w:t>
      </w:r>
      <w:r>
        <w:rPr>
          <w:rFonts w:ascii="Times New Roman" w:hAnsi="Times New Roman"/>
          <w:sz w:val="28"/>
          <w:szCs w:val="28"/>
        </w:rPr>
        <w:t xml:space="preserve">Сучасні генетичні шкали, що поєднують інформацію про </w:t>
      </w:r>
      <w:r w:rsidRPr="00FC55DB">
        <w:rPr>
          <w:rFonts w:ascii="Times New Roman" w:hAnsi="Times New Roman"/>
          <w:sz w:val="28"/>
          <w:szCs w:val="28"/>
          <w:lang w:val="pt-PT"/>
        </w:rPr>
        <w:t xml:space="preserve">HLA </w:t>
      </w:r>
      <w:r>
        <w:rPr>
          <w:rFonts w:ascii="Times New Roman" w:hAnsi="Times New Roman"/>
          <w:sz w:val="28"/>
          <w:szCs w:val="28"/>
        </w:rPr>
        <w:t>та не</w:t>
      </w:r>
      <w:r w:rsidRPr="00FC55DB">
        <w:rPr>
          <w:rFonts w:ascii="Times New Roman" w:hAnsi="Times New Roman"/>
          <w:sz w:val="28"/>
          <w:szCs w:val="28"/>
          <w:lang w:val="pt-PT"/>
        </w:rPr>
        <w:t xml:space="preserve">-HLA </w:t>
      </w:r>
      <w:r>
        <w:rPr>
          <w:rFonts w:ascii="Times New Roman" w:hAnsi="Times New Roman"/>
          <w:sz w:val="28"/>
          <w:szCs w:val="28"/>
        </w:rPr>
        <w:t xml:space="preserve">фактори, </w:t>
      </w:r>
      <w:r>
        <w:rPr>
          <w:rFonts w:ascii="Times New Roman" w:hAnsi="Times New Roman"/>
          <w:sz w:val="28"/>
          <w:szCs w:val="28"/>
        </w:rPr>
        <w:lastRenderedPageBreak/>
        <w:t xml:space="preserve">дозволяють підвищити точність прогнозування та діагностики ЦД </w:t>
      </w:r>
      <w:r w:rsidRPr="00FC55DB">
        <w:rPr>
          <w:rFonts w:ascii="Times New Roman" w:hAnsi="Times New Roman"/>
          <w:sz w:val="28"/>
          <w:szCs w:val="28"/>
          <w:lang w:val="pt-PT"/>
        </w:rPr>
        <w:t xml:space="preserve">1 </w:t>
      </w:r>
      <w:r>
        <w:rPr>
          <w:rFonts w:ascii="Times New Roman" w:hAnsi="Times New Roman"/>
          <w:sz w:val="28"/>
          <w:szCs w:val="28"/>
          <w:lang w:val="ru-RU"/>
        </w:rPr>
        <w:t>типу</w:t>
      </w:r>
      <w:r w:rsidRPr="00FC55DB">
        <w:rPr>
          <w:rFonts w:ascii="Times New Roman" w:hAnsi="Times New Roman"/>
          <w:sz w:val="28"/>
          <w:szCs w:val="28"/>
          <w:lang w:val="pt-PT"/>
        </w:rPr>
        <w:t xml:space="preserve"> </w:t>
      </w:r>
      <w:r>
        <w:rPr>
          <w:rFonts w:ascii="Times New Roman" w:hAnsi="Times New Roman"/>
          <w:sz w:val="28"/>
          <w:szCs w:val="28"/>
        </w:rPr>
        <w:t>(</w:t>
      </w:r>
      <w:r>
        <w:rPr>
          <w:rFonts w:ascii="Times New Roman" w:hAnsi="Times New Roman"/>
          <w:sz w:val="28"/>
          <w:szCs w:val="28"/>
          <w:lang w:val="ru-RU"/>
        </w:rPr>
        <w:t>Мазур</w:t>
      </w:r>
      <w:r w:rsidRPr="00FC55DB">
        <w:rPr>
          <w:rFonts w:ascii="Times New Roman" w:hAnsi="Times New Roman"/>
          <w:sz w:val="28"/>
          <w:szCs w:val="28"/>
          <w:lang w:val="pt-PT"/>
        </w:rPr>
        <w:t xml:space="preserve"> </w:t>
      </w:r>
      <w:r>
        <w:rPr>
          <w:rFonts w:ascii="Times New Roman" w:hAnsi="Times New Roman"/>
          <w:sz w:val="28"/>
          <w:szCs w:val="28"/>
          <w:lang w:val="ru-RU"/>
        </w:rPr>
        <w:t>Ю</w:t>
      </w:r>
      <w:r>
        <w:rPr>
          <w:rFonts w:ascii="Times New Roman" w:hAnsi="Times New Roman"/>
          <w:sz w:val="28"/>
          <w:szCs w:val="28"/>
        </w:rPr>
        <w:t>.Ю. та співавт., 2023). У випадку ЦД 2 типу спадкові фактори також відіграють значну роль, при цьому моногенні мутації зустрічаються рідко і зазвичай впливають на лептин-меланокортинову вісь, регулюючи апетит та функцію адипоцитів. GWAS та мета-аналізи великих когорт виявили понад 80 надійних асоціацій із ЦД 2 типу, більшість з яких пов’язані із регуляцією β-клітин та секрецією інсуліну. Повногеномні асоціативні дослідження дозволяють оцінювати сумарний вплив поширених варіантів, однак вони пояснюють лише частину спадковості, а наявність захворювань у батьків підвищує ризик розвитку ЦД 2 типу у дітей на 30–60% (</w:t>
      </w:r>
      <w:r w:rsidRPr="00FC55DB">
        <w:rPr>
          <w:rFonts w:ascii="Times New Roman" w:hAnsi="Times New Roman"/>
          <w:sz w:val="28"/>
          <w:szCs w:val="28"/>
        </w:rPr>
        <w:t>Мазур Ю</w:t>
      </w:r>
      <w:r>
        <w:rPr>
          <w:rFonts w:ascii="Times New Roman" w:hAnsi="Times New Roman"/>
          <w:sz w:val="28"/>
          <w:szCs w:val="28"/>
        </w:rPr>
        <w:t>.Ю. та співавт., 2023).</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Дослідження української популяції показали унікальність генетичного різноманіття та важливість врахування локальних поліморфізмів при оцінці ризику метаболічних захворювань. Зокрема, поліморфізм Q223R гена LEPR був асоційований із збільшенням ІМТ та надмірною масою тіла, причому виявлено гендерні відмінності: у жінок носійство алеля G корелювало з підвищенням рівня ЛПНЩ та С-</w:t>
      </w:r>
      <w:r w:rsidRPr="00FC55DB">
        <w:rPr>
          <w:rFonts w:ascii="Times New Roman" w:hAnsi="Times New Roman"/>
          <w:sz w:val="28"/>
          <w:szCs w:val="28"/>
        </w:rPr>
        <w:t>пептиду</w:t>
      </w:r>
      <w:r>
        <w:rPr>
          <w:rFonts w:ascii="Times New Roman" w:hAnsi="Times New Roman"/>
          <w:sz w:val="28"/>
          <w:szCs w:val="28"/>
        </w:rPr>
        <w:t>, а у чоловіків – переважно з підвищенням ІМТ (</w:t>
      </w:r>
      <w:r w:rsidRPr="00FC55DB">
        <w:rPr>
          <w:rFonts w:ascii="Times New Roman" w:hAnsi="Times New Roman"/>
          <w:sz w:val="28"/>
          <w:szCs w:val="28"/>
        </w:rPr>
        <w:t>Мазур Ю</w:t>
      </w:r>
      <w:r>
        <w:rPr>
          <w:rFonts w:ascii="Times New Roman" w:hAnsi="Times New Roman"/>
          <w:sz w:val="28"/>
          <w:szCs w:val="28"/>
        </w:rPr>
        <w:t>.Ю. та співавт., 2023). Дослідження у дітей віком 6–18 років виявили, що метаболічно нездорове ожиріння пов’язане з певними поліморфізмами гену PNPLA3 (rs738409 C/G, rs738408 C/T, rs4823173 G/A, rs2072906 A/G), який кодує трансмембранний протеїн адипонутрін, що регулює ремоделювання ліпідів у печінці (</w:t>
      </w:r>
      <w:r w:rsidRPr="00FC55DB">
        <w:rPr>
          <w:rFonts w:ascii="Times New Roman" w:hAnsi="Times New Roman"/>
          <w:sz w:val="28"/>
          <w:szCs w:val="28"/>
        </w:rPr>
        <w:t>Мазур Ю</w:t>
      </w:r>
      <w:r>
        <w:rPr>
          <w:rFonts w:ascii="Times New Roman" w:hAnsi="Times New Roman"/>
          <w:sz w:val="28"/>
          <w:szCs w:val="28"/>
        </w:rPr>
        <w:t>.Ю. та співавт., 2023). Ці дані підкреслюють необхідність врахування як генетичних, так і середовищних чинників при персоналізованій профілактиці та корекції ожиріння та цукрового діабету через фізичну активність та харчування.</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Оздоровчий фітнес, спрямований на корекцію маси тіла, користується високим попитом, особливо серед жінок другої половини зрілого віку, що пов’язано з розквітом їх професійної та соціальної активності та проблемою надмірної маси тіла, ожирінням і метаболічними порушеннями. Ефективність програм оздоровчих занять серед осіб з ожирінням значно варіює. Хоча вплив поліморфізмів генів на розвиток ожиріння є беззаперечним, фізична активність здатна зменшувати значення індексу генетичного ризику для ІМТ, ймовірно, через епігенетичні </w:t>
      </w:r>
      <w:r>
        <w:rPr>
          <w:rFonts w:ascii="Times New Roman" w:hAnsi="Times New Roman"/>
          <w:sz w:val="28"/>
          <w:szCs w:val="28"/>
        </w:rPr>
        <w:lastRenderedPageBreak/>
        <w:t>механізми. Зокрема, фізичні вправи можуть послаблювати прояви генетично обумовлених метаболічних захворювань, таких як ожиріння або цукровий діабет, а вплив поліморфізму гена FTO (rs1421085) на масу тіла зменшується під дією фізичної активності від 36 до 75% (</w:t>
      </w:r>
      <w:r w:rsidRPr="00FC55DB">
        <w:rPr>
          <w:rFonts w:ascii="Times New Roman" w:hAnsi="Times New Roman"/>
          <w:sz w:val="28"/>
          <w:szCs w:val="28"/>
        </w:rPr>
        <w:t>Мазур Ю</w:t>
      </w:r>
      <w:r>
        <w:rPr>
          <w:rFonts w:ascii="Times New Roman" w:hAnsi="Times New Roman"/>
          <w:sz w:val="28"/>
          <w:szCs w:val="28"/>
        </w:rPr>
        <w:t>.Ю. та співавт., 2023).</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Дослідження проекту </w:t>
      </w:r>
      <w:r>
        <w:rPr>
          <w:rFonts w:ascii="Times New Roman" w:hAnsi="Times New Roman"/>
          <w:sz w:val="28"/>
          <w:szCs w:val="28"/>
          <w:lang w:val="en-US"/>
        </w:rPr>
        <w:t>Heritage</w:t>
      </w:r>
      <w:r w:rsidRPr="00FC55DB">
        <w:rPr>
          <w:rFonts w:ascii="Times New Roman" w:hAnsi="Times New Roman"/>
          <w:sz w:val="28"/>
          <w:szCs w:val="28"/>
        </w:rPr>
        <w:t xml:space="preserve"> </w:t>
      </w:r>
      <w:r>
        <w:rPr>
          <w:rFonts w:ascii="Times New Roman" w:hAnsi="Times New Roman"/>
          <w:sz w:val="28"/>
          <w:szCs w:val="28"/>
        </w:rPr>
        <w:t xml:space="preserve">показали, що у людей, які раніше не займались фізичними вправами, багатотижневі програми витривалості спричиняють значні індивідуальні відмінності у розвитку фізичної витривалості, окисного потенціалу м’язів, мобілізації ліпідів, глюкозного гомеостазу, рівня інсуліну та втраті маси тіла. Виділяють три сценарії відповіді на фізичні навантаження: </w:t>
      </w:r>
      <w:r w:rsidRPr="00FC55DB">
        <w:rPr>
          <w:rFonts w:ascii="Times New Roman" w:hAnsi="Times New Roman"/>
          <w:sz w:val="28"/>
          <w:szCs w:val="28"/>
        </w:rPr>
        <w:t>позитивний</w:t>
      </w:r>
      <w:r>
        <w:rPr>
          <w:rFonts w:ascii="Times New Roman" w:hAnsi="Times New Roman"/>
          <w:sz w:val="28"/>
          <w:szCs w:val="28"/>
        </w:rPr>
        <w:t xml:space="preserve">, індиферентний та негативний, що залежить від низки ендогенних (вік, </w:t>
      </w:r>
      <w:r w:rsidRPr="00FC55DB">
        <w:rPr>
          <w:rFonts w:ascii="Times New Roman" w:hAnsi="Times New Roman"/>
          <w:sz w:val="28"/>
          <w:szCs w:val="28"/>
        </w:rPr>
        <w:t>стать</w:t>
      </w:r>
      <w:r>
        <w:rPr>
          <w:rFonts w:ascii="Times New Roman" w:hAnsi="Times New Roman"/>
          <w:sz w:val="28"/>
          <w:szCs w:val="28"/>
        </w:rPr>
        <w:t xml:space="preserve">, генетичні та епігенетичні особливості, стан мікробіому) </w:t>
      </w:r>
      <w:r w:rsidRPr="00FC55DB">
        <w:rPr>
          <w:rFonts w:ascii="Times New Roman" w:hAnsi="Times New Roman"/>
          <w:sz w:val="28"/>
          <w:szCs w:val="28"/>
        </w:rPr>
        <w:t xml:space="preserve">та екзогенних </w:t>
      </w:r>
      <w:r>
        <w:rPr>
          <w:rFonts w:ascii="Times New Roman" w:hAnsi="Times New Roman"/>
          <w:sz w:val="28"/>
          <w:szCs w:val="28"/>
        </w:rPr>
        <w:t xml:space="preserve">(тривалість, інтенсивність, тип навантаження) факторів </w:t>
      </w:r>
      <w:r>
        <w:rPr>
          <w:rFonts w:ascii="Times New Roman" w:hAnsi="Times New Roman"/>
          <w:sz w:val="28"/>
          <w:szCs w:val="28"/>
          <w:lang w:val="pt-PT"/>
        </w:rPr>
        <w:t>[20].</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Взаємодія фізичної активності з генетичним ризиком ожиріння (GRS) показує, що підвищений рівень активності зменшує вплив варіацій генів FTO, CDKAL1, TNNl3K, NTRK2, BDNF та </w:t>
      </w:r>
      <w:r>
        <w:rPr>
          <w:rFonts w:ascii="Times New Roman" w:hAnsi="Times New Roman"/>
          <w:sz w:val="28"/>
          <w:szCs w:val="28"/>
          <w:lang w:val="fr-FR"/>
        </w:rPr>
        <w:t xml:space="preserve">NPC1 </w:t>
      </w:r>
      <w:r>
        <w:rPr>
          <w:rFonts w:ascii="Times New Roman" w:hAnsi="Times New Roman"/>
          <w:sz w:val="28"/>
          <w:szCs w:val="28"/>
        </w:rPr>
        <w:t xml:space="preserve">на ІМТ та індекс ожиріння (BAI). Фізична активність може притупити ефект </w:t>
      </w:r>
      <w:r>
        <w:rPr>
          <w:rFonts w:ascii="Times New Roman" w:hAnsi="Times New Roman"/>
          <w:sz w:val="28"/>
          <w:szCs w:val="28"/>
          <w:lang w:val="pt-PT"/>
        </w:rPr>
        <w:t xml:space="preserve">FTO rs1421085 </w:t>
      </w:r>
      <w:r>
        <w:rPr>
          <w:rFonts w:ascii="Times New Roman" w:hAnsi="Times New Roman"/>
          <w:sz w:val="28"/>
          <w:szCs w:val="28"/>
        </w:rPr>
        <w:t>на ожиріння на 36–75% у багатоетнічній когорті. Крім того, дослідження показали, що оцінка щоденної кількості кроків для профілактики ожиріння повинна враховувати полігенний індекс ризику (PRS).</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До найбільш інформативних генетичних маркерів, пов’язаних із ефектом фізичних вправ на склад тіла, належать поліморфізми генів </w:t>
      </w:r>
      <w:r>
        <w:rPr>
          <w:rFonts w:ascii="Times New Roman" w:hAnsi="Times New Roman"/>
          <w:sz w:val="28"/>
          <w:szCs w:val="28"/>
          <w:lang w:val="pt-PT"/>
        </w:rPr>
        <w:t xml:space="preserve">FTO, MC4R, ACE, PPARG, LEP, LEPR, ADRB2, ADRB3, INSIG2, PPARD, PPARGC1A, ACSL1 </w:t>
      </w:r>
      <w:r>
        <w:rPr>
          <w:rFonts w:ascii="Times New Roman" w:hAnsi="Times New Roman"/>
          <w:sz w:val="28"/>
          <w:szCs w:val="28"/>
        </w:rPr>
        <w:t xml:space="preserve">та </w:t>
      </w:r>
      <w:r>
        <w:rPr>
          <w:rFonts w:ascii="Times New Roman" w:hAnsi="Times New Roman"/>
          <w:sz w:val="28"/>
          <w:szCs w:val="28"/>
          <w:lang w:val="it-IT"/>
        </w:rPr>
        <w:t xml:space="preserve">ADIPOQ. </w:t>
      </w:r>
      <w:r>
        <w:rPr>
          <w:rFonts w:ascii="Times New Roman" w:hAnsi="Times New Roman"/>
          <w:sz w:val="28"/>
          <w:szCs w:val="28"/>
        </w:rPr>
        <w:t xml:space="preserve">Зокрема, поліморфізм Q223R гена LEPR може слугувати молекулярним маркером лептинової резистентності: </w:t>
      </w:r>
      <w:r>
        <w:rPr>
          <w:rFonts w:ascii="Times New Roman" w:hAnsi="Times New Roman"/>
          <w:sz w:val="28"/>
          <w:szCs w:val="28"/>
          <w:lang w:val="ru-RU"/>
        </w:rPr>
        <w:t>алель</w:t>
      </w:r>
      <w:r w:rsidRPr="00FC55DB">
        <w:rPr>
          <w:rFonts w:ascii="Times New Roman" w:hAnsi="Times New Roman"/>
          <w:sz w:val="28"/>
          <w:szCs w:val="28"/>
          <w:lang w:val="it-IT"/>
        </w:rPr>
        <w:t xml:space="preserve"> </w:t>
      </w:r>
      <w:r>
        <w:rPr>
          <w:rFonts w:ascii="Times New Roman" w:hAnsi="Times New Roman"/>
          <w:sz w:val="28"/>
          <w:szCs w:val="28"/>
        </w:rPr>
        <w:t xml:space="preserve">Q сприяє розвитку ожиріння, </w:t>
      </w:r>
      <w:r>
        <w:rPr>
          <w:rFonts w:ascii="Times New Roman" w:hAnsi="Times New Roman"/>
          <w:sz w:val="28"/>
          <w:szCs w:val="28"/>
          <w:lang w:val="ru-RU"/>
        </w:rPr>
        <w:t>а</w:t>
      </w:r>
      <w:r w:rsidRPr="00FC55DB">
        <w:rPr>
          <w:rFonts w:ascii="Times New Roman" w:hAnsi="Times New Roman"/>
          <w:sz w:val="28"/>
          <w:szCs w:val="28"/>
          <w:lang w:val="it-IT"/>
        </w:rPr>
        <w:t xml:space="preserve"> </w:t>
      </w:r>
      <w:r>
        <w:rPr>
          <w:rFonts w:ascii="Times New Roman" w:hAnsi="Times New Roman"/>
          <w:sz w:val="28"/>
          <w:szCs w:val="28"/>
          <w:lang w:val="ru-RU"/>
        </w:rPr>
        <w:t>алель</w:t>
      </w:r>
      <w:r w:rsidRPr="00FC55DB">
        <w:rPr>
          <w:rFonts w:ascii="Times New Roman" w:hAnsi="Times New Roman"/>
          <w:sz w:val="28"/>
          <w:szCs w:val="28"/>
          <w:lang w:val="it-IT"/>
        </w:rPr>
        <w:t xml:space="preserve"> </w:t>
      </w:r>
      <w:r>
        <w:rPr>
          <w:rFonts w:ascii="Times New Roman" w:hAnsi="Times New Roman"/>
          <w:sz w:val="28"/>
          <w:szCs w:val="28"/>
          <w:lang w:val="de-DE"/>
        </w:rPr>
        <w:t xml:space="preserve">R </w:t>
      </w:r>
      <w:r>
        <w:rPr>
          <w:rFonts w:ascii="Times New Roman" w:hAnsi="Times New Roman"/>
          <w:sz w:val="28"/>
          <w:szCs w:val="28"/>
        </w:rPr>
        <w:t>та R/R-генотип – зниженню рівня лептину після фізичних навантажень. Носії R/R-генотипу демонструють найбільші позитивні зміни у складі тіла при силових тренуваннях.</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Аеробні вправи послаблюють епігенетичні модифікації генів, викликані висококалорійним харчуванням та низькою фізичною активністю, що сприяє запобіганню або затримці початку ЦД 2 типу. У дослідженнях на нетренованих </w:t>
      </w:r>
      <w:r>
        <w:rPr>
          <w:rFonts w:ascii="Times New Roman" w:hAnsi="Times New Roman"/>
          <w:sz w:val="28"/>
          <w:szCs w:val="28"/>
        </w:rPr>
        <w:lastRenderedPageBreak/>
        <w:t xml:space="preserve">жінках ідентифіковано поліморфізм rs116143768 гена </w:t>
      </w:r>
      <w:r>
        <w:rPr>
          <w:rFonts w:ascii="Times New Roman" w:hAnsi="Times New Roman"/>
          <w:sz w:val="28"/>
          <w:szCs w:val="28"/>
          <w:lang w:val="en-US"/>
        </w:rPr>
        <w:t>ACSL</w:t>
      </w:r>
      <w:r w:rsidRPr="00FC55DB">
        <w:rPr>
          <w:rFonts w:ascii="Times New Roman" w:hAnsi="Times New Roman"/>
          <w:sz w:val="28"/>
          <w:szCs w:val="28"/>
        </w:rPr>
        <w:t xml:space="preserve">1, алель </w:t>
      </w:r>
      <w:r>
        <w:rPr>
          <w:rFonts w:ascii="Times New Roman" w:hAnsi="Times New Roman"/>
          <w:sz w:val="28"/>
          <w:szCs w:val="28"/>
        </w:rPr>
        <w:t>T якого асоціюється з вищою ефективністю втрати жиру у відповідь на аеробне тренування та нижчим ІМТ у фізично активних чоловіків.</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Упродовж останніх десяти років науковці дійшли висновку, що скелетні м’язи виконують не лише механічну, скоротливу функцію, а й виступають активним ендокринним органом, здатним синтезувати специфічні тканинні гормони, які забезпечують міжтканинну комунікацію. Цю групу біологічно активних речовин, що продукуються міоцитами під час фізичних навантажень, прийнято називати міокінами. Вони реалізують аутокринну регуляцію метаболізму м’язів і водночас впливають на роботу інших органів і систем — жирової тканини, головного мозку, печінки, кісток, </w:t>
      </w:r>
      <w:r w:rsidRPr="00FC55DB">
        <w:rPr>
          <w:rFonts w:ascii="Times New Roman" w:hAnsi="Times New Roman"/>
          <w:sz w:val="28"/>
          <w:szCs w:val="28"/>
        </w:rPr>
        <w:t>серцево</w:t>
      </w:r>
      <w:r>
        <w:rPr>
          <w:rFonts w:ascii="Times New Roman" w:hAnsi="Times New Roman"/>
          <w:sz w:val="28"/>
          <w:szCs w:val="28"/>
        </w:rPr>
        <w:t>-судинної системи — шляхом взаємодії з відповідними рецепторами.</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Серед великої кількості відомих міокінів (інтерлейкін-6, інтерлейкін-8, інтерлейкін-15 тощо) особливе місце посідає іризин, відкритий у 2012 році. Ця молекула вважається своєрідним «імітаційним сигналом» фізичних вправ: вона стимулює «побуріння» білої жирової тканини, модулює енергетичний та кістковий метаболізм, а також впливає на роботу нервової системи. У сучасних дослідженнях дедалі більше уваги приділяється ролі іризину як фактора, здатного протидіяти розвитку ожиріння. Показано, що він сприяє активації експресії білка-роз’єднувача </w:t>
      </w:r>
      <w:r>
        <w:rPr>
          <w:rFonts w:ascii="Times New Roman" w:hAnsi="Times New Roman"/>
          <w:sz w:val="28"/>
          <w:szCs w:val="28"/>
          <w:lang w:val="pt-PT"/>
        </w:rPr>
        <w:t xml:space="preserve">UCP1 </w:t>
      </w:r>
      <w:r>
        <w:rPr>
          <w:rFonts w:ascii="Times New Roman" w:hAnsi="Times New Roman"/>
          <w:sz w:val="28"/>
          <w:szCs w:val="28"/>
        </w:rPr>
        <w:t>та низки генів, характерних для бурої жирової тканини.</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Іризин є продуктом протеолітичного розщеплення білка, </w:t>
      </w:r>
      <w:r w:rsidRPr="00FC55DB">
        <w:rPr>
          <w:rFonts w:ascii="Times New Roman" w:hAnsi="Times New Roman"/>
          <w:sz w:val="28"/>
          <w:szCs w:val="28"/>
        </w:rPr>
        <w:t xml:space="preserve">закодованого геном </w:t>
      </w:r>
      <w:r>
        <w:rPr>
          <w:rFonts w:ascii="Times New Roman" w:hAnsi="Times New Roman"/>
          <w:sz w:val="28"/>
          <w:szCs w:val="28"/>
          <w:lang w:val="en-US"/>
        </w:rPr>
        <w:t>FNDC</w:t>
      </w:r>
      <w:r w:rsidRPr="00FC55DB">
        <w:rPr>
          <w:rFonts w:ascii="Times New Roman" w:hAnsi="Times New Roman"/>
          <w:sz w:val="28"/>
          <w:szCs w:val="28"/>
        </w:rPr>
        <w:t>5 (</w:t>
      </w:r>
      <w:r>
        <w:rPr>
          <w:rFonts w:ascii="Times New Roman" w:hAnsi="Times New Roman"/>
          <w:sz w:val="28"/>
          <w:szCs w:val="28"/>
          <w:lang w:val="en-US"/>
        </w:rPr>
        <w:t>fibronectin</w:t>
      </w:r>
      <w:r w:rsidRPr="00FC55DB">
        <w:rPr>
          <w:rFonts w:ascii="Times New Roman" w:hAnsi="Times New Roman"/>
          <w:sz w:val="28"/>
          <w:szCs w:val="28"/>
        </w:rPr>
        <w:t xml:space="preserve"> </w:t>
      </w:r>
      <w:r>
        <w:rPr>
          <w:rFonts w:ascii="Times New Roman" w:hAnsi="Times New Roman"/>
          <w:sz w:val="28"/>
          <w:szCs w:val="28"/>
          <w:lang w:val="en-US"/>
        </w:rPr>
        <w:t>type</w:t>
      </w:r>
      <w:r w:rsidRPr="00FC55DB">
        <w:rPr>
          <w:rFonts w:ascii="Times New Roman" w:hAnsi="Times New Roman"/>
          <w:sz w:val="28"/>
          <w:szCs w:val="28"/>
        </w:rPr>
        <w:t xml:space="preserve"> </w:t>
      </w:r>
      <w:r>
        <w:rPr>
          <w:rFonts w:ascii="Times New Roman" w:hAnsi="Times New Roman"/>
          <w:sz w:val="28"/>
          <w:szCs w:val="28"/>
          <w:lang w:val="en-US"/>
        </w:rPr>
        <w:t>III</w:t>
      </w:r>
      <w:r w:rsidRPr="00FC55DB">
        <w:rPr>
          <w:rFonts w:ascii="Times New Roman" w:hAnsi="Times New Roman"/>
          <w:sz w:val="28"/>
          <w:szCs w:val="28"/>
        </w:rPr>
        <w:t xml:space="preserve"> </w:t>
      </w:r>
      <w:r>
        <w:rPr>
          <w:rFonts w:ascii="Times New Roman" w:hAnsi="Times New Roman"/>
          <w:sz w:val="28"/>
          <w:szCs w:val="28"/>
          <w:lang w:val="en-US"/>
        </w:rPr>
        <w:t>domain</w:t>
      </w:r>
      <w:r w:rsidRPr="00FC55DB">
        <w:rPr>
          <w:rFonts w:ascii="Times New Roman" w:hAnsi="Times New Roman"/>
          <w:sz w:val="28"/>
          <w:szCs w:val="28"/>
        </w:rPr>
        <w:t>-</w:t>
      </w:r>
      <w:r>
        <w:rPr>
          <w:rFonts w:ascii="Times New Roman" w:hAnsi="Times New Roman"/>
          <w:sz w:val="28"/>
          <w:szCs w:val="28"/>
          <w:lang w:val="en-US"/>
        </w:rPr>
        <w:t>containing</w:t>
      </w:r>
      <w:r w:rsidRPr="00FC55DB">
        <w:rPr>
          <w:rFonts w:ascii="Times New Roman" w:hAnsi="Times New Roman"/>
          <w:sz w:val="28"/>
          <w:szCs w:val="28"/>
        </w:rPr>
        <w:t xml:space="preserve"> </w:t>
      </w:r>
      <w:r>
        <w:rPr>
          <w:rFonts w:ascii="Times New Roman" w:hAnsi="Times New Roman"/>
          <w:sz w:val="28"/>
          <w:szCs w:val="28"/>
          <w:lang w:val="en-US"/>
        </w:rPr>
        <w:t>protein</w:t>
      </w:r>
      <w:r w:rsidRPr="00FC55DB">
        <w:rPr>
          <w:rFonts w:ascii="Times New Roman" w:hAnsi="Times New Roman"/>
          <w:sz w:val="28"/>
          <w:szCs w:val="28"/>
        </w:rPr>
        <w:t xml:space="preserve"> 5), </w:t>
      </w:r>
      <w:r>
        <w:rPr>
          <w:rFonts w:ascii="Times New Roman" w:hAnsi="Times New Roman"/>
          <w:sz w:val="28"/>
          <w:szCs w:val="28"/>
        </w:rPr>
        <w:t xml:space="preserve">який локалізований на хромосомі 1p35.1 та містить 6 екзонів і 5 інтронів, охоплюючи ділянку розміром 8,47 kb. Згідно з базою </w:t>
      </w:r>
      <w:r>
        <w:rPr>
          <w:rFonts w:ascii="Times New Roman" w:hAnsi="Times New Roman"/>
          <w:sz w:val="28"/>
          <w:szCs w:val="28"/>
          <w:lang w:val="en-US"/>
        </w:rPr>
        <w:t>GeneCards</w:t>
      </w:r>
      <w:r w:rsidRPr="00FC55DB">
        <w:rPr>
          <w:rFonts w:ascii="Times New Roman" w:hAnsi="Times New Roman"/>
          <w:sz w:val="28"/>
          <w:szCs w:val="28"/>
          <w:lang w:val="ru-RU"/>
        </w:rPr>
        <w:t xml:space="preserve">, </w:t>
      </w:r>
      <w:r>
        <w:rPr>
          <w:rFonts w:ascii="Times New Roman" w:hAnsi="Times New Roman"/>
          <w:sz w:val="28"/>
          <w:szCs w:val="28"/>
        </w:rPr>
        <w:t xml:space="preserve">для цього гена описано 4699 варіантів поліморфізмів, з яких клінічне значення доведене лише для восьми. Найчастіше їх досліджують у контексті інсулінової чутливості. Зокрема, варіанти rs16835198 і rs726344 виявили асоціацію з цим показником. Під час масштабного дослідження за участю 1976 осіб, що проходили тест толерантності до глюкози, встановлено: </w:t>
      </w:r>
      <w:r w:rsidRPr="00FC55DB">
        <w:rPr>
          <w:rFonts w:ascii="Times New Roman" w:hAnsi="Times New Roman"/>
          <w:sz w:val="28"/>
          <w:szCs w:val="28"/>
        </w:rPr>
        <w:t xml:space="preserve">алель </w:t>
      </w:r>
      <w:r>
        <w:rPr>
          <w:rFonts w:ascii="Times New Roman" w:hAnsi="Times New Roman"/>
          <w:sz w:val="28"/>
          <w:szCs w:val="28"/>
        </w:rPr>
        <w:t xml:space="preserve">G rs16835198 пов’язаний із підвищенням концентрації інсуліну, зниженням індексу </w:t>
      </w:r>
      <w:r>
        <w:rPr>
          <w:rFonts w:ascii="Times New Roman" w:hAnsi="Times New Roman"/>
          <w:sz w:val="28"/>
          <w:szCs w:val="28"/>
        </w:rPr>
        <w:lastRenderedPageBreak/>
        <w:t xml:space="preserve">інсулінової чутливості та зростанням індексу </w:t>
      </w:r>
      <w:r>
        <w:rPr>
          <w:rFonts w:ascii="Times New Roman" w:hAnsi="Times New Roman"/>
          <w:sz w:val="28"/>
          <w:szCs w:val="28"/>
          <w:lang w:val="de-DE"/>
        </w:rPr>
        <w:t xml:space="preserve">HOMA-IR. </w:t>
      </w:r>
      <w:r>
        <w:rPr>
          <w:rFonts w:ascii="Times New Roman" w:hAnsi="Times New Roman"/>
          <w:sz w:val="28"/>
          <w:szCs w:val="28"/>
        </w:rPr>
        <w:t>Аналогічно, мінорний алель А rs726344 також асоціювався з інсулінорезистентністю.</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Деякі наукові групи вивчали зв’язок поліморфізмів </w:t>
      </w:r>
      <w:r>
        <w:rPr>
          <w:rFonts w:ascii="Times New Roman" w:hAnsi="Times New Roman"/>
          <w:sz w:val="28"/>
          <w:szCs w:val="28"/>
          <w:lang w:val="fr-FR"/>
        </w:rPr>
        <w:t xml:space="preserve">FNDC5 </w:t>
      </w:r>
      <w:r>
        <w:rPr>
          <w:rFonts w:ascii="Times New Roman" w:hAnsi="Times New Roman"/>
          <w:sz w:val="28"/>
          <w:szCs w:val="28"/>
        </w:rPr>
        <w:t xml:space="preserve">із довголіттям. Хоча прямої асоціації виявлено не було, встановлено, що взаємодія з іншими генами, зокрема </w:t>
      </w:r>
      <w:r>
        <w:rPr>
          <w:rFonts w:ascii="Times New Roman" w:hAnsi="Times New Roman"/>
          <w:sz w:val="28"/>
          <w:szCs w:val="28"/>
          <w:lang w:val="es-ES_tradnl"/>
        </w:rPr>
        <w:t xml:space="preserve">APOE </w:t>
      </w:r>
      <w:r>
        <w:rPr>
          <w:rFonts w:ascii="Times New Roman" w:hAnsi="Times New Roman"/>
          <w:sz w:val="28"/>
          <w:szCs w:val="28"/>
        </w:rPr>
        <w:t xml:space="preserve">та </w:t>
      </w:r>
      <w:r>
        <w:rPr>
          <w:rFonts w:ascii="Times New Roman" w:hAnsi="Times New Roman"/>
          <w:sz w:val="28"/>
          <w:szCs w:val="28"/>
          <w:lang w:val="de-DE"/>
        </w:rPr>
        <w:t xml:space="preserve">FOXO3A, </w:t>
      </w:r>
      <w:r>
        <w:rPr>
          <w:rFonts w:ascii="Times New Roman" w:hAnsi="Times New Roman"/>
          <w:sz w:val="28"/>
          <w:szCs w:val="28"/>
        </w:rPr>
        <w:t xml:space="preserve">може модифікувати ефекти FNDC5. Наприклад, поліморфізм rs16835198 асоціювався з довголіттям лише у носіїв певних варіантів цих генів. Крім того, поліморфізм rs3480 (A/G) продемонстрував зв’язок із ожирінням: А/А-генотип та G-алель частіше виявляли у людей із надмірною масою тіла. Італійські дослідження підтвердили його асоціацію з антропометричними показниками — масою жирової тканини та співвідношенням талії до стегон. Метааналіз семи робіт вказав, що генотип G/G rs3480 підвищує ризик розвитку цукрового діабету 2 типу, тоді як дані щодо rs16835198 </w:t>
      </w:r>
      <w:r w:rsidRPr="00FC55DB">
        <w:rPr>
          <w:rFonts w:ascii="Times New Roman" w:hAnsi="Times New Roman"/>
          <w:sz w:val="28"/>
          <w:szCs w:val="28"/>
        </w:rPr>
        <w:t>залишаються суперечливими</w:t>
      </w:r>
      <w:r>
        <w:rPr>
          <w:rFonts w:ascii="Times New Roman" w:hAnsi="Times New Roman"/>
          <w:sz w:val="28"/>
          <w:szCs w:val="28"/>
        </w:rPr>
        <w:t>.</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Також доведено, що </w:t>
      </w:r>
      <w:r>
        <w:rPr>
          <w:rFonts w:ascii="Times New Roman" w:hAnsi="Times New Roman"/>
          <w:sz w:val="28"/>
          <w:szCs w:val="28"/>
          <w:lang w:val="fr-FR"/>
        </w:rPr>
        <w:t xml:space="preserve">FNDC5 </w:t>
      </w:r>
      <w:r>
        <w:rPr>
          <w:rFonts w:ascii="Times New Roman" w:hAnsi="Times New Roman"/>
          <w:sz w:val="28"/>
          <w:szCs w:val="28"/>
        </w:rPr>
        <w:t>взаємодіє з іншими генами (наприклад</w:t>
      </w:r>
      <w:r>
        <w:rPr>
          <w:rFonts w:ascii="Times New Roman" w:hAnsi="Times New Roman"/>
          <w:sz w:val="28"/>
          <w:szCs w:val="28"/>
          <w:lang w:val="fr-FR"/>
        </w:rPr>
        <w:t>, PGC-1</w:t>
      </w:r>
      <w:r>
        <w:rPr>
          <w:rFonts w:ascii="Times New Roman" w:hAnsi="Times New Roman"/>
          <w:sz w:val="28"/>
          <w:szCs w:val="28"/>
        </w:rPr>
        <w:t>α) та факторами зовнішнього середовища — харчовими звичками і рівнем фізичної активності. У дітей із генотипом Т/Т rs16835198 ризик ожиріння зростає за несприятливих поведінкових умов, зокрема низької рухової активності.</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Попри те, що низка досліджень підтверджує роль однонуклеотидних поліморфізмів </w:t>
      </w:r>
      <w:r>
        <w:rPr>
          <w:rFonts w:ascii="Times New Roman" w:hAnsi="Times New Roman"/>
          <w:sz w:val="28"/>
          <w:szCs w:val="28"/>
          <w:lang w:val="fr-FR"/>
        </w:rPr>
        <w:t xml:space="preserve">FNDC5 </w:t>
      </w:r>
      <w:r>
        <w:rPr>
          <w:rFonts w:ascii="Times New Roman" w:hAnsi="Times New Roman"/>
          <w:sz w:val="28"/>
          <w:szCs w:val="28"/>
        </w:rPr>
        <w:t>у розвитку ожиріння, регуляції інсулінової чутливості та гомеостазу глюкози, отримані результати залишаються суперечливими. Часто виявляється низька частота мінорних алелів, що ускладнює статистично достовірне встановлення асоціацій. Крім того, поки що не досліджено вплив цих варіантів на ефективність фізичних вправ як профілактичного засобу проти метаболічних порушень.</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Останнім часом значно зросла зацікавленість науковців у вивченні ролі вітаміну </w:t>
      </w:r>
      <w:r>
        <w:rPr>
          <w:rFonts w:ascii="Times New Roman" w:hAnsi="Times New Roman"/>
          <w:sz w:val="28"/>
          <w:szCs w:val="28"/>
          <w:lang w:val="en-US"/>
        </w:rPr>
        <w:t>D</w:t>
      </w:r>
      <w:r w:rsidRPr="00FC55DB">
        <w:rPr>
          <w:rFonts w:ascii="Times New Roman" w:hAnsi="Times New Roman"/>
          <w:sz w:val="28"/>
          <w:szCs w:val="28"/>
          <w:lang w:val="ru-RU"/>
        </w:rPr>
        <w:t xml:space="preserve"> </w:t>
      </w:r>
      <w:r>
        <w:rPr>
          <w:rFonts w:ascii="Times New Roman" w:hAnsi="Times New Roman"/>
          <w:sz w:val="28"/>
          <w:szCs w:val="28"/>
        </w:rPr>
        <w:t xml:space="preserve">у регуляції метаболічних процесів в організмі дитини. Основною функцією вітаміну </w:t>
      </w:r>
      <w:r>
        <w:rPr>
          <w:rFonts w:ascii="Times New Roman" w:hAnsi="Times New Roman"/>
          <w:sz w:val="28"/>
          <w:szCs w:val="28"/>
          <w:lang w:val="en-US"/>
        </w:rPr>
        <w:t>D</w:t>
      </w:r>
      <w:r w:rsidRPr="00FC55DB">
        <w:rPr>
          <w:rFonts w:ascii="Times New Roman" w:hAnsi="Times New Roman"/>
          <w:sz w:val="28"/>
          <w:szCs w:val="28"/>
          <w:lang w:val="ru-RU"/>
        </w:rPr>
        <w:t xml:space="preserve"> </w:t>
      </w:r>
      <w:r>
        <w:rPr>
          <w:rFonts w:ascii="Times New Roman" w:hAnsi="Times New Roman"/>
          <w:sz w:val="28"/>
          <w:szCs w:val="28"/>
        </w:rPr>
        <w:t>є підтримка кальцієво-</w:t>
      </w:r>
      <w:r>
        <w:rPr>
          <w:rFonts w:ascii="Times New Roman" w:hAnsi="Times New Roman"/>
          <w:sz w:val="28"/>
          <w:szCs w:val="28"/>
          <w:lang w:val="ru-RU"/>
        </w:rPr>
        <w:t>фосфорного гомеостазу</w:t>
      </w:r>
      <w:r>
        <w:rPr>
          <w:rFonts w:ascii="Times New Roman" w:hAnsi="Times New Roman"/>
          <w:sz w:val="28"/>
          <w:szCs w:val="28"/>
        </w:rPr>
        <w:t xml:space="preserve">, що є критично важливим для нормального росту та розвитку. Рецептор вітаміну </w:t>
      </w:r>
      <w:r>
        <w:rPr>
          <w:rFonts w:ascii="Times New Roman" w:hAnsi="Times New Roman"/>
          <w:sz w:val="28"/>
          <w:szCs w:val="28"/>
          <w:lang w:val="da-DK"/>
        </w:rPr>
        <w:t xml:space="preserve">D (VDR) </w:t>
      </w:r>
      <w:r>
        <w:rPr>
          <w:rFonts w:ascii="Times New Roman" w:hAnsi="Times New Roman"/>
          <w:sz w:val="28"/>
          <w:szCs w:val="28"/>
        </w:rPr>
        <w:t xml:space="preserve">належить до сімейства трансактивних факторів транскрипції, демонструючи схожість із </w:t>
      </w:r>
      <w:r>
        <w:rPr>
          <w:rFonts w:ascii="Times New Roman" w:hAnsi="Times New Roman"/>
          <w:sz w:val="28"/>
          <w:szCs w:val="28"/>
        </w:rPr>
        <w:lastRenderedPageBreak/>
        <w:t xml:space="preserve">рецепторами стероїдних та тиреоїдних гормонів, що свідчить про функціонування вітаміну </w:t>
      </w:r>
      <w:r>
        <w:rPr>
          <w:rFonts w:ascii="Times New Roman" w:hAnsi="Times New Roman"/>
          <w:sz w:val="28"/>
          <w:szCs w:val="28"/>
          <w:lang w:val="en-US"/>
        </w:rPr>
        <w:t>D</w:t>
      </w:r>
      <w:r w:rsidRPr="00FC55DB">
        <w:rPr>
          <w:rFonts w:ascii="Times New Roman" w:hAnsi="Times New Roman"/>
          <w:sz w:val="28"/>
          <w:szCs w:val="28"/>
        </w:rPr>
        <w:t xml:space="preserve"> </w:t>
      </w:r>
      <w:r>
        <w:rPr>
          <w:rFonts w:ascii="Times New Roman" w:hAnsi="Times New Roman"/>
          <w:sz w:val="28"/>
          <w:szCs w:val="28"/>
        </w:rPr>
        <w:t>як гормону.</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Ген, який кодує цей рецептор, також носить назву </w:t>
      </w:r>
      <w:r>
        <w:rPr>
          <w:rFonts w:ascii="Times New Roman" w:hAnsi="Times New Roman"/>
          <w:sz w:val="28"/>
          <w:szCs w:val="28"/>
          <w:lang w:val="da-DK"/>
        </w:rPr>
        <w:t>VDR (</w:t>
      </w:r>
      <w:r>
        <w:rPr>
          <w:rFonts w:ascii="Times New Roman" w:hAnsi="Times New Roman"/>
          <w:sz w:val="28"/>
          <w:szCs w:val="28"/>
        </w:rPr>
        <w:t xml:space="preserve">або NR1I1) і локалізований на хромосомі </w:t>
      </w:r>
      <w:r>
        <w:rPr>
          <w:rFonts w:ascii="Times New Roman" w:hAnsi="Times New Roman"/>
          <w:sz w:val="28"/>
          <w:szCs w:val="28"/>
          <w:lang w:val="fr-FR"/>
        </w:rPr>
        <w:t>12q12</w:t>
      </w:r>
      <w:r>
        <w:rPr>
          <w:rFonts w:ascii="Times New Roman" w:hAnsi="Times New Roman"/>
          <w:sz w:val="28"/>
          <w:szCs w:val="28"/>
        </w:rPr>
        <w:t>–</w:t>
      </w:r>
      <w:r>
        <w:rPr>
          <w:rFonts w:ascii="Times New Roman" w:hAnsi="Times New Roman"/>
          <w:sz w:val="28"/>
          <w:szCs w:val="28"/>
          <w:lang w:val="it-IT"/>
        </w:rPr>
        <w:t xml:space="preserve">q14. </w:t>
      </w:r>
      <w:r>
        <w:rPr>
          <w:rFonts w:ascii="Times New Roman" w:hAnsi="Times New Roman"/>
          <w:sz w:val="28"/>
          <w:szCs w:val="28"/>
        </w:rPr>
        <w:t xml:space="preserve">Він характеризується високою поліморфністю, тобто існуванням різних алельних варіантів у популяції. Серед найбільш клінічно значущих поліморфізмів, що беруть участь у розвитку різних захворювань, виділяють </w:t>
      </w:r>
      <w:r>
        <w:rPr>
          <w:rFonts w:ascii="Times New Roman" w:hAnsi="Times New Roman"/>
          <w:sz w:val="28"/>
          <w:szCs w:val="28"/>
          <w:lang w:val="en-US"/>
        </w:rPr>
        <w:t>BsmI</w:t>
      </w:r>
      <w:r w:rsidRPr="00FC55DB">
        <w:rPr>
          <w:rFonts w:ascii="Times New Roman" w:hAnsi="Times New Roman"/>
          <w:sz w:val="28"/>
          <w:szCs w:val="28"/>
        </w:rPr>
        <w:t xml:space="preserve">, </w:t>
      </w:r>
      <w:r>
        <w:rPr>
          <w:rFonts w:ascii="Times New Roman" w:hAnsi="Times New Roman"/>
          <w:sz w:val="28"/>
          <w:szCs w:val="28"/>
          <w:lang w:val="en-US"/>
        </w:rPr>
        <w:t>FokI</w:t>
      </w:r>
      <w:r w:rsidRPr="00FC55DB">
        <w:rPr>
          <w:rFonts w:ascii="Times New Roman" w:hAnsi="Times New Roman"/>
          <w:sz w:val="28"/>
          <w:szCs w:val="28"/>
        </w:rPr>
        <w:t xml:space="preserve">, </w:t>
      </w:r>
      <w:r>
        <w:rPr>
          <w:rFonts w:ascii="Times New Roman" w:hAnsi="Times New Roman"/>
          <w:sz w:val="28"/>
          <w:szCs w:val="28"/>
          <w:lang w:val="en-US"/>
        </w:rPr>
        <w:t>TaqI</w:t>
      </w:r>
      <w:r w:rsidRPr="00FC55DB">
        <w:rPr>
          <w:rFonts w:ascii="Times New Roman" w:hAnsi="Times New Roman"/>
          <w:sz w:val="28"/>
          <w:szCs w:val="28"/>
        </w:rPr>
        <w:t xml:space="preserve">, </w:t>
      </w:r>
      <w:r>
        <w:rPr>
          <w:rFonts w:ascii="Times New Roman" w:hAnsi="Times New Roman"/>
          <w:sz w:val="28"/>
          <w:szCs w:val="28"/>
          <w:lang w:val="en-US"/>
        </w:rPr>
        <w:t>ApaI</w:t>
      </w:r>
      <w:r w:rsidRPr="00FC55DB">
        <w:rPr>
          <w:rFonts w:ascii="Times New Roman" w:hAnsi="Times New Roman"/>
          <w:sz w:val="28"/>
          <w:szCs w:val="28"/>
        </w:rPr>
        <w:t xml:space="preserve"> </w:t>
      </w:r>
      <w:r>
        <w:rPr>
          <w:rFonts w:ascii="Times New Roman" w:hAnsi="Times New Roman"/>
          <w:sz w:val="28"/>
          <w:szCs w:val="28"/>
        </w:rPr>
        <w:t xml:space="preserve">та FokI. На сьогоднішній день описано понад 1500 однонуклеотидних поліморфізмів (SNP) гена </w:t>
      </w:r>
      <w:r>
        <w:rPr>
          <w:rFonts w:ascii="Times New Roman" w:hAnsi="Times New Roman"/>
          <w:sz w:val="28"/>
          <w:szCs w:val="28"/>
          <w:lang w:val="da-DK"/>
        </w:rPr>
        <w:t xml:space="preserve">VDR </w:t>
      </w:r>
      <w:r>
        <w:rPr>
          <w:rFonts w:ascii="Times New Roman" w:hAnsi="Times New Roman"/>
          <w:sz w:val="28"/>
          <w:szCs w:val="28"/>
          <w:lang w:val="ru-RU"/>
        </w:rPr>
        <w:t>у людини</w:t>
      </w:r>
      <w:r>
        <w:rPr>
          <w:rFonts w:ascii="Times New Roman" w:hAnsi="Times New Roman"/>
          <w:sz w:val="28"/>
          <w:szCs w:val="28"/>
        </w:rPr>
        <w:t>.</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Зокрема, дослідження </w:t>
      </w:r>
      <w:r>
        <w:rPr>
          <w:rFonts w:ascii="Times New Roman" w:hAnsi="Times New Roman"/>
          <w:sz w:val="28"/>
          <w:szCs w:val="28"/>
          <w:lang w:val="de-DE"/>
        </w:rPr>
        <w:t xml:space="preserve">R. Akter </w:t>
      </w:r>
      <w:r>
        <w:rPr>
          <w:rFonts w:ascii="Times New Roman" w:hAnsi="Times New Roman"/>
          <w:sz w:val="28"/>
          <w:szCs w:val="28"/>
        </w:rPr>
        <w:t xml:space="preserve">та співавт. (2022) продемонстрували, що дитяче ожиріння може бути пов’язане з дефіцитом вітаміну </w:t>
      </w:r>
      <w:r>
        <w:rPr>
          <w:rFonts w:ascii="Times New Roman" w:hAnsi="Times New Roman"/>
          <w:sz w:val="28"/>
          <w:szCs w:val="28"/>
          <w:lang w:val="en-US"/>
        </w:rPr>
        <w:t>D</w:t>
      </w:r>
      <w:r w:rsidRPr="00FC55DB">
        <w:rPr>
          <w:rFonts w:ascii="Times New Roman" w:hAnsi="Times New Roman"/>
          <w:sz w:val="28"/>
          <w:szCs w:val="28"/>
        </w:rPr>
        <w:t xml:space="preserve"> </w:t>
      </w:r>
      <w:r>
        <w:rPr>
          <w:rFonts w:ascii="Times New Roman" w:hAnsi="Times New Roman"/>
          <w:sz w:val="28"/>
          <w:szCs w:val="28"/>
        </w:rPr>
        <w:t xml:space="preserve">та поліморфізмами гена </w:t>
      </w:r>
      <w:r>
        <w:rPr>
          <w:rFonts w:ascii="Times New Roman" w:hAnsi="Times New Roman"/>
          <w:sz w:val="28"/>
          <w:szCs w:val="28"/>
          <w:lang w:val="da-DK"/>
        </w:rPr>
        <w:t xml:space="preserve">VDR, </w:t>
      </w:r>
      <w:r>
        <w:rPr>
          <w:rFonts w:ascii="Times New Roman" w:hAnsi="Times New Roman"/>
          <w:sz w:val="28"/>
          <w:szCs w:val="28"/>
        </w:rPr>
        <w:t xml:space="preserve">серед яких виділяють </w:t>
      </w:r>
      <w:r>
        <w:rPr>
          <w:rFonts w:ascii="Times New Roman" w:hAnsi="Times New Roman"/>
          <w:sz w:val="28"/>
          <w:szCs w:val="28"/>
          <w:lang w:val="en-US"/>
        </w:rPr>
        <w:t>SNP</w:t>
      </w:r>
      <w:r w:rsidRPr="00FC55DB">
        <w:rPr>
          <w:rFonts w:ascii="Times New Roman" w:hAnsi="Times New Roman"/>
          <w:sz w:val="28"/>
          <w:szCs w:val="28"/>
        </w:rPr>
        <w:t xml:space="preserve"> </w:t>
      </w:r>
      <w:r>
        <w:rPr>
          <w:rFonts w:ascii="Times New Roman" w:hAnsi="Times New Roman"/>
          <w:sz w:val="28"/>
          <w:szCs w:val="28"/>
          <w:lang w:val="en-US"/>
        </w:rPr>
        <w:t>TaqI</w:t>
      </w:r>
      <w:r w:rsidRPr="00FC55DB">
        <w:rPr>
          <w:rFonts w:ascii="Times New Roman" w:hAnsi="Times New Roman"/>
          <w:sz w:val="28"/>
          <w:szCs w:val="28"/>
        </w:rPr>
        <w:t xml:space="preserve">, </w:t>
      </w:r>
      <w:r>
        <w:rPr>
          <w:rFonts w:ascii="Times New Roman" w:hAnsi="Times New Roman"/>
          <w:sz w:val="28"/>
          <w:szCs w:val="28"/>
          <w:lang w:val="en-US"/>
        </w:rPr>
        <w:t>BsmI</w:t>
      </w:r>
      <w:r w:rsidRPr="00FC55DB">
        <w:rPr>
          <w:rFonts w:ascii="Times New Roman" w:hAnsi="Times New Roman"/>
          <w:sz w:val="28"/>
          <w:szCs w:val="28"/>
        </w:rPr>
        <w:t xml:space="preserve">, </w:t>
      </w:r>
      <w:r>
        <w:rPr>
          <w:rFonts w:ascii="Times New Roman" w:hAnsi="Times New Roman"/>
          <w:sz w:val="28"/>
          <w:szCs w:val="28"/>
          <w:lang w:val="en-US"/>
        </w:rPr>
        <w:t>ApaI</w:t>
      </w:r>
      <w:r w:rsidRPr="00FC55DB">
        <w:rPr>
          <w:rFonts w:ascii="Times New Roman" w:hAnsi="Times New Roman"/>
          <w:sz w:val="28"/>
          <w:szCs w:val="28"/>
        </w:rPr>
        <w:t xml:space="preserve">, </w:t>
      </w:r>
      <w:r>
        <w:rPr>
          <w:rFonts w:ascii="Times New Roman" w:hAnsi="Times New Roman"/>
          <w:sz w:val="28"/>
          <w:szCs w:val="28"/>
          <w:lang w:val="en-US"/>
        </w:rPr>
        <w:t>FokI</w:t>
      </w:r>
      <w:r w:rsidRPr="00FC55DB">
        <w:rPr>
          <w:rFonts w:ascii="Times New Roman" w:hAnsi="Times New Roman"/>
          <w:sz w:val="28"/>
          <w:szCs w:val="28"/>
        </w:rPr>
        <w:t xml:space="preserve"> </w:t>
      </w:r>
      <w:r>
        <w:rPr>
          <w:rFonts w:ascii="Times New Roman" w:hAnsi="Times New Roman"/>
          <w:sz w:val="28"/>
          <w:szCs w:val="28"/>
        </w:rPr>
        <w:t xml:space="preserve">та </w:t>
      </w:r>
      <w:r>
        <w:rPr>
          <w:rFonts w:ascii="Times New Roman" w:hAnsi="Times New Roman"/>
          <w:sz w:val="28"/>
          <w:szCs w:val="28"/>
          <w:lang w:val="it-IT"/>
        </w:rPr>
        <w:t xml:space="preserve">Cdx2. </w:t>
      </w:r>
      <w:r>
        <w:rPr>
          <w:rFonts w:ascii="Times New Roman" w:hAnsi="Times New Roman"/>
          <w:sz w:val="28"/>
          <w:szCs w:val="28"/>
        </w:rPr>
        <w:t xml:space="preserve">Це підтверджує важливість вивчення генетичних варіантів </w:t>
      </w:r>
      <w:r>
        <w:rPr>
          <w:rFonts w:ascii="Times New Roman" w:hAnsi="Times New Roman"/>
          <w:sz w:val="28"/>
          <w:szCs w:val="28"/>
          <w:lang w:val="da-DK"/>
        </w:rPr>
        <w:t xml:space="preserve">VDR </w:t>
      </w:r>
      <w:r>
        <w:rPr>
          <w:rFonts w:ascii="Times New Roman" w:hAnsi="Times New Roman"/>
          <w:sz w:val="28"/>
          <w:szCs w:val="28"/>
        </w:rPr>
        <w:t>у контексті метаболічних розладів у дітей.</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Ожиріння та його наслідки виникають внаслідок складної взаємодії способу життя, генетичних особливостей та психологічних чинників. Генетична складова включає гени, що кодують регуляторні білки та прозапальні цитокіни, які беруть участь у підтримці та регуляції складу тіла.</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Згідно з Панченко Ю., низька маса тіла при народженні може стати фактором підвищеного ризику порушень обміну речовин у подальшому житті. Це пояснюється тим, що такі діти мають меншу частку м’язової та «пісної» тканини, що робить їх більш схильними до набору маси при збільшенні споживання калорій у певні періоди життя </w:t>
      </w:r>
      <w:r>
        <w:rPr>
          <w:rFonts w:ascii="Times New Roman" w:hAnsi="Times New Roman"/>
          <w:sz w:val="28"/>
          <w:szCs w:val="28"/>
          <w:lang w:val="pt-PT"/>
        </w:rPr>
        <w:t>[2].</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Регуляція апетиту та енергетичних витрат здійснюється за участю численних медіаторів, серед яких інсулін, </w:t>
      </w:r>
      <w:r w:rsidRPr="00FC55DB">
        <w:rPr>
          <w:rFonts w:ascii="Times New Roman" w:hAnsi="Times New Roman"/>
          <w:sz w:val="28"/>
          <w:szCs w:val="28"/>
        </w:rPr>
        <w:t>шлунково</w:t>
      </w:r>
      <w:r>
        <w:rPr>
          <w:rFonts w:ascii="Times New Roman" w:hAnsi="Times New Roman"/>
          <w:sz w:val="28"/>
          <w:szCs w:val="28"/>
        </w:rPr>
        <w:t>-кишкові пептиди (</w:t>
      </w:r>
      <w:r w:rsidRPr="00FC55DB">
        <w:rPr>
          <w:rFonts w:ascii="Times New Roman" w:hAnsi="Times New Roman"/>
          <w:sz w:val="28"/>
          <w:szCs w:val="28"/>
        </w:rPr>
        <w:t xml:space="preserve">пептид </w:t>
      </w:r>
      <w:r>
        <w:rPr>
          <w:rFonts w:ascii="Times New Roman" w:hAnsi="Times New Roman"/>
          <w:sz w:val="28"/>
          <w:szCs w:val="28"/>
          <w:lang w:val="es-ES_tradnl"/>
        </w:rPr>
        <w:t xml:space="preserve">Y, </w:t>
      </w:r>
      <w:r>
        <w:rPr>
          <w:rFonts w:ascii="Times New Roman" w:hAnsi="Times New Roman"/>
          <w:sz w:val="28"/>
          <w:szCs w:val="28"/>
        </w:rPr>
        <w:t xml:space="preserve">холецистокінін, глюкагоноподібний пептид-1), грелін, який стимулює апетит, та лептин, що знижує апетит і підвищує витрати енергії. </w:t>
      </w:r>
      <w:r>
        <w:rPr>
          <w:rFonts w:ascii="Times New Roman" w:hAnsi="Times New Roman"/>
          <w:sz w:val="28"/>
          <w:szCs w:val="28"/>
          <w:lang w:val="ru-RU"/>
        </w:rPr>
        <w:t>Лептин</w:t>
      </w:r>
      <w:r>
        <w:rPr>
          <w:rFonts w:ascii="Times New Roman" w:hAnsi="Times New Roman"/>
          <w:sz w:val="28"/>
          <w:szCs w:val="28"/>
        </w:rPr>
        <w:t xml:space="preserve">, гормон, синтезований у білих адипоцитах, а також в інших органах, контролює прийом їжі та енергетичні витрати через центральні та периферійні механізми. Ген рецептора лептину (LEPR) є ключовим елементом, пов’язаним із ризиком розвитку ожиріння. Під час вагітності лептин продукується як жировою тканиною матері, так і плоду та </w:t>
      </w:r>
      <w:r>
        <w:rPr>
          <w:rFonts w:ascii="Times New Roman" w:hAnsi="Times New Roman"/>
          <w:sz w:val="28"/>
          <w:szCs w:val="28"/>
        </w:rPr>
        <w:lastRenderedPageBreak/>
        <w:t>плацентою, причому його рівень у сироватці пуповини позитивно корелює з вагою новонародженого порівняно з рівнем лептину у матері. У гені LEPR описано декілька поліморфізмів, що беруть участь у розвитку ожиріння, серед яких найчастіше досліджується однонуклеотидний поліморфізм Q223R.</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Глюкокортикоїди здійснюють свою дію через відповідний рецептор (GR), що робить його важливим фактором опосередкування ефектів кортизолу. Незважаючи на можливість вимірювання концентрації глюкокортикоїдів у плазмі, їх реальний вплив на тканини-мішені залишається складним для прогнозування, тоді як індивідуальна чутливість до їх дії зазвичай є стабільною. Поліморфізми гена GR можуть мати значний вплив на чутливість організму до глюкокортикоїдів, що, у свою чергу, відображається на зміні складу тіла та метаболічних процесах.</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Поліморфізми генів, які регулюють ліпідний обмін, відіграють важливу роль у формуванні індивідуальної схильності до ожиріння та метаболічних порушень. Дослідження Омейє Френсіса I. (2024) </w:t>
      </w:r>
      <w:r w:rsidRPr="00FC55DB">
        <w:rPr>
          <w:rFonts w:ascii="Times New Roman" w:hAnsi="Times New Roman"/>
          <w:sz w:val="28"/>
          <w:szCs w:val="28"/>
        </w:rPr>
        <w:t>демонструють</w:t>
      </w:r>
      <w:r>
        <w:rPr>
          <w:rFonts w:ascii="Times New Roman" w:hAnsi="Times New Roman"/>
          <w:sz w:val="28"/>
          <w:szCs w:val="28"/>
        </w:rPr>
        <w:t xml:space="preserve">, що зміни в генах </w:t>
      </w:r>
      <w:r>
        <w:rPr>
          <w:rFonts w:ascii="Times New Roman" w:hAnsi="Times New Roman"/>
          <w:sz w:val="28"/>
          <w:szCs w:val="28"/>
          <w:lang w:val="es-ES_tradnl"/>
        </w:rPr>
        <w:t xml:space="preserve">APOE, LPL, FTO, PCSK9, CETP </w:t>
      </w:r>
      <w:r>
        <w:rPr>
          <w:rFonts w:ascii="Times New Roman" w:hAnsi="Times New Roman"/>
          <w:sz w:val="28"/>
          <w:szCs w:val="28"/>
        </w:rPr>
        <w:t xml:space="preserve">та FABP можуть значно впливати на рівні ліпідів у крові, порушуючи нормальну транспортування, розпад і депонування жирів. Наприклад, різні алелі гена </w:t>
      </w:r>
      <w:r>
        <w:rPr>
          <w:rFonts w:ascii="Times New Roman" w:hAnsi="Times New Roman"/>
          <w:sz w:val="28"/>
          <w:szCs w:val="28"/>
          <w:lang w:val="es-ES_tradnl"/>
        </w:rPr>
        <w:t xml:space="preserve">APOE </w:t>
      </w:r>
      <w:r>
        <w:rPr>
          <w:rFonts w:ascii="Times New Roman" w:hAnsi="Times New Roman"/>
          <w:sz w:val="28"/>
          <w:szCs w:val="28"/>
        </w:rPr>
        <w:t xml:space="preserve">пов’язані з відмінностями в метаболізмі холестерину та тригліцеридів, що може підвищувати ризик атеросклерозу та серцево-судинних захворювань </w:t>
      </w:r>
      <w:r>
        <w:rPr>
          <w:rFonts w:ascii="Times New Roman" w:hAnsi="Times New Roman"/>
          <w:sz w:val="28"/>
          <w:szCs w:val="28"/>
          <w:lang w:val="pt-PT"/>
        </w:rPr>
        <w:t>[4].</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Ген LPL кодує ліпопротеїнліпазу, ключовий фермент для гідролізу тригліцеридів у ліпопротеїнах. Поліморфізми цього гена можуть призводити до підвищення рівня тригліцеридів у плазмі, що асоціюється з гіперліпідемією та підвищеним ризиком метаболічного синдрому. Водночас варіанти гена </w:t>
      </w:r>
      <w:r>
        <w:rPr>
          <w:rFonts w:ascii="Times New Roman" w:hAnsi="Times New Roman"/>
          <w:sz w:val="28"/>
          <w:szCs w:val="28"/>
          <w:lang w:val="pt-PT"/>
        </w:rPr>
        <w:t xml:space="preserve">FTO </w:t>
      </w:r>
      <w:r>
        <w:rPr>
          <w:rFonts w:ascii="Times New Roman" w:hAnsi="Times New Roman"/>
          <w:sz w:val="28"/>
          <w:szCs w:val="28"/>
        </w:rPr>
        <w:t>впливають на регуляцію апетиту, енергетичні витрати та накопичення жирової тканини, збільшуючи схильність до ожиріння незалежно від способу життя.</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Додатково, поліморфізми гена </w:t>
      </w:r>
      <w:r>
        <w:rPr>
          <w:rFonts w:ascii="Times New Roman" w:hAnsi="Times New Roman"/>
          <w:sz w:val="28"/>
          <w:szCs w:val="28"/>
          <w:lang w:val="fr-FR"/>
        </w:rPr>
        <w:t xml:space="preserve">PCSK9 </w:t>
      </w:r>
      <w:r>
        <w:rPr>
          <w:rFonts w:ascii="Times New Roman" w:hAnsi="Times New Roman"/>
          <w:sz w:val="28"/>
          <w:szCs w:val="28"/>
        </w:rPr>
        <w:t xml:space="preserve">можуть змінювати рівень ЛПНЩ-холестерину в крові, а зміни в </w:t>
      </w:r>
      <w:r>
        <w:rPr>
          <w:rFonts w:ascii="Times New Roman" w:hAnsi="Times New Roman"/>
          <w:sz w:val="28"/>
          <w:szCs w:val="28"/>
          <w:lang w:val="fr-FR"/>
        </w:rPr>
        <w:t xml:space="preserve">CETP </w:t>
      </w:r>
      <w:r>
        <w:rPr>
          <w:rFonts w:ascii="Times New Roman" w:hAnsi="Times New Roman"/>
          <w:sz w:val="28"/>
          <w:szCs w:val="28"/>
        </w:rPr>
        <w:t xml:space="preserve">впливають на співвідношення ЛПВЩ та ЛПНЩ, що має значення для серцево-судинного здоров’я. Гени сімейства FABP відповідають за транспорт та зберігання жирних кислот у клітинах, і їхні </w:t>
      </w:r>
      <w:r>
        <w:rPr>
          <w:rFonts w:ascii="Times New Roman" w:hAnsi="Times New Roman"/>
          <w:sz w:val="28"/>
          <w:szCs w:val="28"/>
        </w:rPr>
        <w:lastRenderedPageBreak/>
        <w:t>поліморфізми корелюють із підвищеним ризиком розвитку ожиріння та інсулінорезистентності.</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Важливо зазначити, що поліморфізми цих генів не діють ізольовано. У багатьох випадках ефект визначається епістатичними взаємодіями між різними алелями, що може модулювати індивідуальну відповідь на дієтичне харчування та фізичну активність. Це дає підстави для розвитку персоналізованих підходів у профілактиці та лікуванні ожиріння, де генетичний профіль пацієнта використовується для оптимізації дієтичних та фізичних втручань.</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Поліморфізми генів, які регулюють жировий обмін, відіграють суттєву роль у розвитку ожиріння та метаболічних розладів, оскільки вони здатні впливати на накопичення жирової тканини, чутливість до інсуліну та ефективність фізичної активності. Дослідження останніх років демонструють, що окремі генетичні варіанти можуть підвищувати ризик ожиріння, проте цей ризик частково модулюється способом життя та харчовими звичками.</w:t>
      </w:r>
    </w:p>
    <w:p w:rsidR="003C0557" w:rsidRDefault="00030A4E">
      <w:pPr>
        <w:pStyle w:val="Default"/>
        <w:spacing w:before="0" w:line="360" w:lineRule="auto"/>
        <w:ind w:firstLine="720"/>
        <w:jc w:val="both"/>
        <w:rPr>
          <w:rStyle w:val="Hyperlink0"/>
          <w:rFonts w:eastAsia="Arial Unicode MS"/>
        </w:rPr>
      </w:pPr>
      <w:r>
        <w:rPr>
          <w:rFonts w:ascii="Times New Roman" w:hAnsi="Times New Roman"/>
          <w:sz w:val="28"/>
          <w:szCs w:val="28"/>
        </w:rPr>
        <w:t xml:space="preserve">Зокрема, ген </w:t>
      </w:r>
      <w:r>
        <w:rPr>
          <w:rFonts w:ascii="Times New Roman" w:hAnsi="Times New Roman"/>
          <w:sz w:val="28"/>
          <w:szCs w:val="28"/>
          <w:lang w:val="en-US"/>
        </w:rPr>
        <w:t>FTO</w:t>
      </w:r>
      <w:r w:rsidRPr="00FC55DB">
        <w:rPr>
          <w:rFonts w:ascii="Times New Roman" w:hAnsi="Times New Roman"/>
          <w:sz w:val="28"/>
          <w:szCs w:val="28"/>
        </w:rPr>
        <w:t xml:space="preserve"> (</w:t>
      </w:r>
      <w:r>
        <w:rPr>
          <w:rFonts w:ascii="Times New Roman" w:hAnsi="Times New Roman"/>
          <w:sz w:val="28"/>
          <w:szCs w:val="28"/>
          <w:lang w:val="en-US"/>
        </w:rPr>
        <w:t>Fat</w:t>
      </w:r>
      <w:r w:rsidRPr="00FC55DB">
        <w:rPr>
          <w:rFonts w:ascii="Times New Roman" w:hAnsi="Times New Roman"/>
          <w:sz w:val="28"/>
          <w:szCs w:val="28"/>
        </w:rPr>
        <w:t xml:space="preserve"> </w:t>
      </w:r>
      <w:r>
        <w:rPr>
          <w:rFonts w:ascii="Times New Roman" w:hAnsi="Times New Roman"/>
          <w:sz w:val="28"/>
          <w:szCs w:val="28"/>
          <w:lang w:val="en-US"/>
        </w:rPr>
        <w:t>Mass</w:t>
      </w:r>
      <w:r w:rsidRPr="00FC55DB">
        <w:rPr>
          <w:rFonts w:ascii="Times New Roman" w:hAnsi="Times New Roman"/>
          <w:sz w:val="28"/>
          <w:szCs w:val="28"/>
        </w:rPr>
        <w:t xml:space="preserve"> </w:t>
      </w:r>
      <w:r>
        <w:rPr>
          <w:rFonts w:ascii="Times New Roman" w:hAnsi="Times New Roman"/>
          <w:sz w:val="28"/>
          <w:szCs w:val="28"/>
          <w:lang w:val="en-US"/>
        </w:rPr>
        <w:t>and</w:t>
      </w:r>
      <w:r w:rsidRPr="00FC55DB">
        <w:rPr>
          <w:rFonts w:ascii="Times New Roman" w:hAnsi="Times New Roman"/>
          <w:sz w:val="28"/>
          <w:szCs w:val="28"/>
        </w:rPr>
        <w:t xml:space="preserve"> </w:t>
      </w:r>
      <w:r>
        <w:rPr>
          <w:rFonts w:ascii="Times New Roman" w:hAnsi="Times New Roman"/>
          <w:sz w:val="28"/>
          <w:szCs w:val="28"/>
          <w:lang w:val="en-US"/>
        </w:rPr>
        <w:t>Obesity</w:t>
      </w:r>
      <w:r w:rsidRPr="00FC55DB">
        <w:rPr>
          <w:rFonts w:ascii="Times New Roman" w:hAnsi="Times New Roman"/>
          <w:sz w:val="28"/>
          <w:szCs w:val="28"/>
        </w:rPr>
        <w:t>-</w:t>
      </w:r>
      <w:r>
        <w:rPr>
          <w:rFonts w:ascii="Times New Roman" w:hAnsi="Times New Roman"/>
          <w:sz w:val="28"/>
          <w:szCs w:val="28"/>
          <w:lang w:val="en-US"/>
        </w:rPr>
        <w:t>Associated</w:t>
      </w:r>
      <w:r w:rsidRPr="00FC55DB">
        <w:rPr>
          <w:rFonts w:ascii="Times New Roman" w:hAnsi="Times New Roman"/>
          <w:sz w:val="28"/>
          <w:szCs w:val="28"/>
        </w:rPr>
        <w:t xml:space="preserve"> </w:t>
      </w:r>
      <w:r>
        <w:rPr>
          <w:rFonts w:ascii="Times New Roman" w:hAnsi="Times New Roman"/>
          <w:sz w:val="28"/>
          <w:szCs w:val="28"/>
          <w:lang w:val="en-US"/>
        </w:rPr>
        <w:t>Gene</w:t>
      </w:r>
      <w:r w:rsidRPr="00FC55DB">
        <w:rPr>
          <w:rFonts w:ascii="Times New Roman" w:hAnsi="Times New Roman"/>
          <w:sz w:val="28"/>
          <w:szCs w:val="28"/>
        </w:rPr>
        <w:t xml:space="preserve">) </w:t>
      </w:r>
      <w:r>
        <w:rPr>
          <w:rFonts w:ascii="Times New Roman" w:hAnsi="Times New Roman"/>
          <w:sz w:val="28"/>
          <w:szCs w:val="28"/>
        </w:rPr>
        <w:t>вважається ключовим у регуляції маси тіла. Поліморфізм rs9939609 асоційований з підвищеним ризиком ожиріння, особливо за умови високого споживання насичених жирів, оскільки носії ризикового алеля демонструють більший індекс маси тіла та підвищену схильність до накопичення жиру (</w:t>
      </w:r>
      <w:hyperlink r:id="rId9" w:history="1">
        <w:r>
          <w:rPr>
            <w:rStyle w:val="Hyperlink0"/>
            <w:rFonts w:eastAsia="Arial Unicode MS"/>
          </w:rPr>
          <w:t>Zhang et al., 2024</w:t>
        </w:r>
      </w:hyperlink>
      <w:r>
        <w:rPr>
          <w:rStyle w:val="Hyperlink0"/>
          <w:rFonts w:eastAsia="Arial Unicode MS"/>
        </w:rPr>
        <w:t>).</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Додатково, ген LEPR (Leptin Receptor Gene), який кодує рецептор лептину, регулює апетит та енергетичний баланс. Поліморфізм Q223R цього гена зменшує ефективність сигналізації лептину, що призводить до підвищеного ризику ожиріння. У контексті фізичних навантажень це означає, що носії певних алелів можуть потребувати більшої активності для досягнення енергетичного балансу </w:t>
      </w:r>
      <w:r>
        <w:rPr>
          <w:rStyle w:val="Hyperlink0"/>
          <w:rFonts w:eastAsia="Arial Unicode MS"/>
          <w:lang w:val="pt-PT"/>
        </w:rPr>
        <w:t>[5].</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Ген PLIN4 (Perilipin 4), який відповідає за обволікання жирових крапель у адипоцитах, також демонструє значення для метаболізму жирів. Поліморфізми PLIN4 впливають на накопичення жиру та розвиток інсулінорезистентності, оскільки білок периліпін захищає тригліцериди від розщеплення ліпазами.</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Крім того, ген </w:t>
      </w:r>
      <w:r>
        <w:rPr>
          <w:rStyle w:val="Hyperlink0"/>
          <w:rFonts w:eastAsia="Arial Unicode MS"/>
          <w:lang w:val="de-DE"/>
        </w:rPr>
        <w:t xml:space="preserve">NPC1 (Niemann-Pick C1), </w:t>
      </w:r>
      <w:r>
        <w:rPr>
          <w:rStyle w:val="Hyperlink0"/>
          <w:rFonts w:eastAsia="Arial Unicode MS"/>
        </w:rPr>
        <w:t xml:space="preserve">що відповідає за транспорт холестерину та жирних кислот у лізосомах, асоційований з ожирінням. Мутації </w:t>
      </w:r>
      <w:r>
        <w:rPr>
          <w:rStyle w:val="Hyperlink0"/>
          <w:rFonts w:eastAsia="Arial Unicode MS"/>
        </w:rPr>
        <w:lastRenderedPageBreak/>
        <w:t>цього гена можуть підвищувати апетит та порушувати обмін жирів, особливо за умов високожирового харчування.</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lang w:val="ru-RU"/>
        </w:rPr>
        <w:t>Варто зазначити</w:t>
      </w:r>
      <w:r>
        <w:rPr>
          <w:rStyle w:val="Hyperlink0"/>
          <w:rFonts w:eastAsia="Arial Unicode MS"/>
        </w:rPr>
        <w:t xml:space="preserve">, що фізична активність може модулювати вплив генетичних варіантів на метаболізм жирів. Наприклад, у носіїв ризикових алелів гена </w:t>
      </w:r>
      <w:r>
        <w:rPr>
          <w:rStyle w:val="Hyperlink0"/>
          <w:rFonts w:eastAsia="Arial Unicode MS"/>
          <w:lang w:val="pt-PT"/>
        </w:rPr>
        <w:t xml:space="preserve">FTO </w:t>
      </w:r>
      <w:r>
        <w:rPr>
          <w:rStyle w:val="Hyperlink0"/>
          <w:rFonts w:eastAsia="Arial Unicode MS"/>
        </w:rPr>
        <w:t xml:space="preserve">регулярні фізичні навантаження здатні зменшувати схильність до ожиріння, </w:t>
      </w:r>
      <w:r w:rsidRPr="00FC55DB">
        <w:rPr>
          <w:rStyle w:val="Hyperlink0"/>
          <w:rFonts w:eastAsia="Arial Unicode MS"/>
        </w:rPr>
        <w:t>компенсуючи негативний ефект генетичного ризику</w:t>
      </w:r>
      <w:r>
        <w:rPr>
          <w:rStyle w:val="Hyperlink0"/>
          <w:rFonts w:eastAsia="Arial Unicode MS"/>
        </w:rPr>
        <w:t>.</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У статті </w:t>
      </w:r>
      <w:r w:rsidRPr="00FC55DB">
        <w:rPr>
          <w:rStyle w:val="Hyperlink0"/>
          <w:rFonts w:eastAsia="Arial Unicode MS"/>
        </w:rPr>
        <w:t>"</w:t>
      </w:r>
      <w:r>
        <w:rPr>
          <w:rStyle w:val="Hyperlink0"/>
          <w:rFonts w:eastAsia="Arial Unicode MS"/>
          <w:lang w:val="en-US"/>
        </w:rPr>
        <w:t>Obesity</w:t>
      </w:r>
      <w:r w:rsidRPr="00FC55DB">
        <w:rPr>
          <w:rStyle w:val="Hyperlink0"/>
          <w:rFonts w:eastAsia="Arial Unicode MS"/>
        </w:rPr>
        <w:t xml:space="preserve"> </w:t>
      </w:r>
      <w:r>
        <w:rPr>
          <w:rStyle w:val="Hyperlink0"/>
          <w:rFonts w:eastAsia="Arial Unicode MS"/>
          <w:lang w:val="en-US"/>
        </w:rPr>
        <w:t>and</w:t>
      </w:r>
      <w:r w:rsidRPr="00FC55DB">
        <w:rPr>
          <w:rStyle w:val="Hyperlink0"/>
          <w:rFonts w:eastAsia="Arial Unicode MS"/>
        </w:rPr>
        <w:t xml:space="preserve"> </w:t>
      </w:r>
      <w:r>
        <w:rPr>
          <w:rStyle w:val="Hyperlink0"/>
          <w:rFonts w:eastAsia="Arial Unicode MS"/>
          <w:lang w:val="en-US"/>
        </w:rPr>
        <w:t>the</w:t>
      </w:r>
      <w:r w:rsidRPr="00FC55DB">
        <w:rPr>
          <w:rStyle w:val="Hyperlink0"/>
          <w:rFonts w:eastAsia="Arial Unicode MS"/>
        </w:rPr>
        <w:t xml:space="preserve"> </w:t>
      </w:r>
      <w:r>
        <w:rPr>
          <w:rStyle w:val="Hyperlink0"/>
          <w:rFonts w:eastAsia="Arial Unicode MS"/>
          <w:lang w:val="en-US"/>
        </w:rPr>
        <w:t>role</w:t>
      </w:r>
      <w:r w:rsidRPr="00FC55DB">
        <w:rPr>
          <w:rStyle w:val="Hyperlink0"/>
          <w:rFonts w:eastAsia="Arial Unicode MS"/>
        </w:rPr>
        <w:t xml:space="preserve"> </w:t>
      </w:r>
      <w:r>
        <w:rPr>
          <w:rStyle w:val="Hyperlink0"/>
          <w:rFonts w:eastAsia="Arial Unicode MS"/>
          <w:lang w:val="en-US"/>
        </w:rPr>
        <w:t>of</w:t>
      </w:r>
      <w:r w:rsidRPr="00FC55DB">
        <w:rPr>
          <w:rStyle w:val="Hyperlink0"/>
          <w:rFonts w:eastAsia="Arial Unicode MS"/>
        </w:rPr>
        <w:t xml:space="preserve"> </w:t>
      </w:r>
      <w:r>
        <w:rPr>
          <w:rStyle w:val="Hyperlink0"/>
          <w:rFonts w:eastAsia="Arial Unicode MS"/>
          <w:lang w:val="en-US"/>
        </w:rPr>
        <w:t>genetic</w:t>
      </w:r>
      <w:r w:rsidRPr="00FC55DB">
        <w:rPr>
          <w:rStyle w:val="Hyperlink0"/>
          <w:rFonts w:eastAsia="Arial Unicode MS"/>
        </w:rPr>
        <w:t xml:space="preserve"> </w:t>
      </w:r>
      <w:r>
        <w:rPr>
          <w:rStyle w:val="Hyperlink0"/>
          <w:rFonts w:eastAsia="Arial Unicode MS"/>
          <w:lang w:val="en-US"/>
        </w:rPr>
        <w:t>polymorphism</w:t>
      </w:r>
      <w:r w:rsidRPr="00FC55DB">
        <w:rPr>
          <w:rStyle w:val="Hyperlink0"/>
          <w:rFonts w:eastAsia="Arial Unicode MS"/>
        </w:rPr>
        <w:t xml:space="preserve">: </w:t>
      </w:r>
      <w:r>
        <w:rPr>
          <w:rStyle w:val="Hyperlink0"/>
          <w:rFonts w:eastAsia="Arial Unicode MS"/>
          <w:lang w:val="en-US"/>
        </w:rPr>
        <w:t>A</w:t>
      </w:r>
      <w:r w:rsidRPr="00FC55DB">
        <w:rPr>
          <w:rStyle w:val="Hyperlink0"/>
          <w:rFonts w:eastAsia="Arial Unicode MS"/>
        </w:rPr>
        <w:t xml:space="preserve"> </w:t>
      </w:r>
      <w:r>
        <w:rPr>
          <w:rStyle w:val="Hyperlink0"/>
          <w:rFonts w:eastAsia="Arial Unicode MS"/>
          <w:lang w:val="en-US"/>
        </w:rPr>
        <w:t>review</w:t>
      </w:r>
      <w:r w:rsidRPr="00FC55DB">
        <w:rPr>
          <w:rStyle w:val="Hyperlink0"/>
          <w:rFonts w:eastAsia="Arial Unicode MS"/>
        </w:rPr>
        <w:t xml:space="preserve"> </w:t>
      </w:r>
      <w:r>
        <w:rPr>
          <w:rStyle w:val="Hyperlink0"/>
          <w:rFonts w:eastAsia="Arial Unicode MS"/>
          <w:lang w:val="en-US"/>
        </w:rPr>
        <w:t>of</w:t>
      </w:r>
      <w:r w:rsidRPr="00FC55DB">
        <w:rPr>
          <w:rStyle w:val="Hyperlink0"/>
          <w:rFonts w:eastAsia="Arial Unicode MS"/>
        </w:rPr>
        <w:t xml:space="preserve"> </w:t>
      </w:r>
      <w:r>
        <w:rPr>
          <w:rStyle w:val="Hyperlink0"/>
          <w:rFonts w:eastAsia="Arial Unicode MS"/>
          <w:lang w:val="en-US"/>
        </w:rPr>
        <w:t>genes</w:t>
      </w:r>
      <w:r w:rsidRPr="00FC55DB">
        <w:rPr>
          <w:rStyle w:val="Hyperlink0"/>
          <w:rFonts w:eastAsia="Arial Unicode MS"/>
        </w:rPr>
        <w:t xml:space="preserve"> </w:t>
      </w:r>
      <w:r>
        <w:rPr>
          <w:rStyle w:val="Hyperlink0"/>
          <w:rFonts w:eastAsia="Arial Unicode MS"/>
          <w:lang w:val="en-US"/>
        </w:rPr>
        <w:t>as</w:t>
      </w:r>
      <w:r w:rsidRPr="00FC55DB">
        <w:rPr>
          <w:rStyle w:val="Hyperlink0"/>
          <w:rFonts w:eastAsia="Arial Unicode MS"/>
        </w:rPr>
        <w:t xml:space="preserve"> </w:t>
      </w:r>
      <w:r>
        <w:rPr>
          <w:rStyle w:val="Hyperlink0"/>
          <w:rFonts w:eastAsia="Arial Unicode MS"/>
          <w:lang w:val="en-US"/>
        </w:rPr>
        <w:t>the</w:t>
      </w:r>
      <w:r w:rsidRPr="00FC55DB">
        <w:rPr>
          <w:rStyle w:val="Hyperlink0"/>
          <w:rFonts w:eastAsia="Arial Unicode MS"/>
        </w:rPr>
        <w:t xml:space="preserve"> </w:t>
      </w:r>
      <w:r>
        <w:rPr>
          <w:rStyle w:val="Hyperlink0"/>
          <w:rFonts w:eastAsia="Arial Unicode MS"/>
          <w:lang w:val="en-US"/>
        </w:rPr>
        <w:t>risk</w:t>
      </w:r>
      <w:r w:rsidRPr="00FC55DB">
        <w:rPr>
          <w:rStyle w:val="Hyperlink0"/>
          <w:rFonts w:eastAsia="Arial Unicode MS"/>
        </w:rPr>
        <w:t xml:space="preserve"> </w:t>
      </w:r>
      <w:r>
        <w:rPr>
          <w:rStyle w:val="Hyperlink0"/>
          <w:rFonts w:eastAsia="Arial Unicode MS"/>
          <w:lang w:val="en-US"/>
        </w:rPr>
        <w:t>of</w:t>
      </w:r>
      <w:r w:rsidRPr="00FC55DB">
        <w:rPr>
          <w:rStyle w:val="Hyperlink0"/>
          <w:rFonts w:eastAsia="Arial Unicode MS"/>
        </w:rPr>
        <w:t xml:space="preserve"> </w:t>
      </w:r>
      <w:r>
        <w:rPr>
          <w:rStyle w:val="Hyperlink0"/>
          <w:rFonts w:eastAsia="Arial Unicode MS"/>
          <w:lang w:val="en-US"/>
        </w:rPr>
        <w:t>obesity</w:t>
      </w:r>
      <w:r w:rsidRPr="00FC55DB">
        <w:rPr>
          <w:rStyle w:val="Hyperlink0"/>
          <w:rFonts w:eastAsia="Arial Unicode MS"/>
        </w:rPr>
        <w:t xml:space="preserve">" (2025) </w:t>
      </w:r>
      <w:r>
        <w:rPr>
          <w:rStyle w:val="Hyperlink0"/>
          <w:rFonts w:eastAsia="Arial Unicode MS"/>
        </w:rPr>
        <w:t xml:space="preserve">автори розглядають роль генетичних поліморфізмів у розвитку ожиріння, підкреслюючи, що генетичні ризики можуть варіювати залежно від країни та популяції. </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Зокрема, дослідження показали, що поліморфізми в генах, таких як </w:t>
      </w:r>
      <w:r>
        <w:rPr>
          <w:rStyle w:val="Hyperlink0"/>
          <w:rFonts w:eastAsia="Arial Unicode MS"/>
          <w:lang w:val="de-DE"/>
        </w:rPr>
        <w:t xml:space="preserve">FTO, LEP, LEPR, PPARG, MC4R, INSIG2, PCSK1, ADRB2 </w:t>
      </w:r>
      <w:r>
        <w:rPr>
          <w:rStyle w:val="Hyperlink0"/>
          <w:rFonts w:eastAsia="Arial Unicode MS"/>
        </w:rPr>
        <w:t xml:space="preserve">та </w:t>
      </w:r>
      <w:r>
        <w:rPr>
          <w:rStyle w:val="Hyperlink0"/>
          <w:rFonts w:eastAsia="Arial Unicode MS"/>
          <w:lang w:val="pt-PT"/>
        </w:rPr>
        <w:t xml:space="preserve">UCP2, </w:t>
      </w:r>
      <w:r>
        <w:rPr>
          <w:rStyle w:val="Hyperlink0"/>
          <w:rFonts w:eastAsia="Arial Unicode MS"/>
        </w:rPr>
        <w:t xml:space="preserve">можуть впливати на ризик розвитку ожиріння. Ці гени беруть участь у регуляції апетиту, метаболізмі ліпідів та енергетичному балансі, що робить їх важливими кандидатами для подальших досліджень у контексті ожиріння. </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Зокрема, поліморфізм rs9939609 у гені </w:t>
      </w:r>
      <w:r>
        <w:rPr>
          <w:rStyle w:val="Hyperlink0"/>
          <w:rFonts w:eastAsia="Arial Unicode MS"/>
          <w:lang w:val="pt-PT"/>
        </w:rPr>
        <w:t xml:space="preserve">FTO </w:t>
      </w:r>
      <w:r>
        <w:rPr>
          <w:rStyle w:val="Hyperlink0"/>
          <w:rFonts w:eastAsia="Arial Unicode MS"/>
        </w:rPr>
        <w:t xml:space="preserve">асоціюється з підвищеним індексом маси тіла (ІМТ) та відсотком жирової маси не лише у дорослих, а й у дітей. У групі дітей та підлітків віком від 6 до 19 років наявність хоча б одного ризикового алеля гена </w:t>
      </w:r>
      <w:r>
        <w:rPr>
          <w:rStyle w:val="Hyperlink0"/>
          <w:rFonts w:eastAsia="Arial Unicode MS"/>
          <w:lang w:val="pt-PT"/>
        </w:rPr>
        <w:t xml:space="preserve">FTO </w:t>
      </w:r>
      <w:r w:rsidRPr="00FC55DB">
        <w:rPr>
          <w:rStyle w:val="Hyperlink0"/>
          <w:rFonts w:eastAsia="Arial Unicode MS"/>
        </w:rPr>
        <w:t>була пов</w:t>
      </w:r>
      <w:r>
        <w:rPr>
          <w:rStyle w:val="Hyperlink0"/>
          <w:rFonts w:eastAsia="Arial Unicode MS"/>
        </w:rPr>
        <w:t>'язана з вищим ІМТ, зокрема з підвищенням ІМТ за Z-оцінкою та жирової маси.</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Подібні результати були отримані щодо поліморфізму гена MC4R. Дослідження, проведене на когорті дітей, показало, що поліморфізм rs17782313 у гені </w:t>
      </w:r>
      <w:r>
        <w:rPr>
          <w:rStyle w:val="Hyperlink0"/>
          <w:rFonts w:eastAsia="Arial Unicode MS"/>
          <w:lang w:val="de-DE"/>
        </w:rPr>
        <w:t xml:space="preserve">MC4R </w:t>
      </w:r>
      <w:r w:rsidRPr="00FC55DB">
        <w:rPr>
          <w:rStyle w:val="Hyperlink0"/>
          <w:rFonts w:eastAsia="Arial Unicode MS"/>
        </w:rPr>
        <w:t>може бути пов</w:t>
      </w:r>
      <w:r>
        <w:rPr>
          <w:rStyle w:val="Hyperlink0"/>
          <w:rFonts w:eastAsia="Arial Unicode MS"/>
        </w:rPr>
        <w:t>'язаний з ризиком надмірної ваги та підвищеним споживанням їжі у дітей віком від 6 до 12 років. Наявність C-алеля була асоційована з підвищеним задоволенням від їжі, зниженням ситості та більшою схильністю до їжі без голоду, що може сприяти розвитку ожиріння у дитячому віці.</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Останні дослідження вказують на важливу роль поліморфізмів генів у розвитку ожиріння та супутніх метаболічних порушень. Зокрема, </w:t>
      </w:r>
      <w:r w:rsidRPr="00FC55DB">
        <w:rPr>
          <w:rStyle w:val="Hyperlink0"/>
          <w:rFonts w:eastAsia="Arial Unicode MS"/>
        </w:rPr>
        <w:t>стаття</w:t>
      </w:r>
      <w:r>
        <w:rPr>
          <w:rStyle w:val="Hyperlink0"/>
          <w:rFonts w:eastAsia="Arial Unicode MS"/>
        </w:rPr>
        <w:t xml:space="preserve">, опублікована в </w:t>
      </w:r>
      <w:r>
        <w:rPr>
          <w:rStyle w:val="None"/>
          <w:rFonts w:ascii="Times New Roman" w:hAnsi="Times New Roman"/>
          <w:i/>
          <w:iCs/>
          <w:sz w:val="28"/>
          <w:szCs w:val="28"/>
          <w:lang w:val="en-US"/>
        </w:rPr>
        <w:t>Scientific</w:t>
      </w:r>
      <w:r w:rsidRPr="00FC55DB">
        <w:rPr>
          <w:rStyle w:val="None"/>
          <w:rFonts w:ascii="Times New Roman" w:hAnsi="Times New Roman"/>
          <w:i/>
          <w:iCs/>
          <w:sz w:val="28"/>
          <w:szCs w:val="28"/>
        </w:rPr>
        <w:t xml:space="preserve"> </w:t>
      </w:r>
      <w:r>
        <w:rPr>
          <w:rStyle w:val="None"/>
          <w:rFonts w:ascii="Times New Roman" w:hAnsi="Times New Roman"/>
          <w:i/>
          <w:iCs/>
          <w:sz w:val="28"/>
          <w:szCs w:val="28"/>
          <w:lang w:val="en-US"/>
        </w:rPr>
        <w:t>Reports</w:t>
      </w:r>
      <w:r>
        <w:rPr>
          <w:rStyle w:val="Hyperlink0"/>
          <w:rFonts w:eastAsia="Arial Unicode MS"/>
        </w:rPr>
        <w:t xml:space="preserve"> у серпні </w:t>
      </w:r>
      <w:r w:rsidRPr="00FC55DB">
        <w:rPr>
          <w:rStyle w:val="Hyperlink0"/>
          <w:rFonts w:eastAsia="Arial Unicode MS"/>
        </w:rPr>
        <w:t>2024 року</w:t>
      </w:r>
      <w:r>
        <w:rPr>
          <w:rStyle w:val="Hyperlink0"/>
          <w:rFonts w:eastAsia="Arial Unicode MS"/>
        </w:rPr>
        <w:t xml:space="preserve">, підкреслює значущість однонуклеотидних поліморфізмів (SNPs) </w:t>
      </w:r>
      <w:r w:rsidRPr="00FC55DB">
        <w:rPr>
          <w:rStyle w:val="Hyperlink0"/>
          <w:rFonts w:eastAsia="Arial Unicode MS"/>
        </w:rPr>
        <w:t>у генах</w:t>
      </w:r>
      <w:r>
        <w:rPr>
          <w:rStyle w:val="Hyperlink0"/>
          <w:rFonts w:eastAsia="Arial Unicode MS"/>
        </w:rPr>
        <w:t xml:space="preserve">, пов'язаних з ожирінням та </w:t>
      </w:r>
      <w:r>
        <w:rPr>
          <w:rStyle w:val="Hyperlink0"/>
          <w:rFonts w:eastAsia="Arial Unicode MS"/>
        </w:rPr>
        <w:lastRenderedPageBreak/>
        <w:t xml:space="preserve">цукровим діабетом 2 типу серед азійських популяцій. Автори дослідження, зокрема Янасеґаран та співавтори, </w:t>
      </w:r>
      <w:r w:rsidRPr="00FC55DB">
        <w:rPr>
          <w:rStyle w:val="Hyperlink0"/>
          <w:rFonts w:eastAsia="Arial Unicode MS"/>
        </w:rPr>
        <w:t>виявили</w:t>
      </w:r>
      <w:r>
        <w:rPr>
          <w:rStyle w:val="Hyperlink0"/>
          <w:rFonts w:eastAsia="Arial Unicode MS"/>
        </w:rPr>
        <w:t xml:space="preserve">, що SNPs </w:t>
      </w:r>
      <w:r w:rsidRPr="00FC55DB">
        <w:rPr>
          <w:rStyle w:val="Hyperlink0"/>
          <w:rFonts w:eastAsia="Arial Unicode MS"/>
        </w:rPr>
        <w:t xml:space="preserve">у генах </w:t>
      </w:r>
      <w:r>
        <w:rPr>
          <w:rStyle w:val="Hyperlink0"/>
          <w:rFonts w:eastAsia="Arial Unicode MS"/>
        </w:rPr>
        <w:t xml:space="preserve">FTO (rs9939609), MC4R (rs17782313), TCF7L2 (rs7903146), SLC30A8 (rs13266634), та KCNQ1 (rs2283228) мають значущі асоціації з ризиком ожиріння та цукрового діабету 2 типу. Зокрема, SNP rs9939609 у гені </w:t>
      </w:r>
      <w:r>
        <w:rPr>
          <w:rStyle w:val="Hyperlink0"/>
          <w:rFonts w:eastAsia="Arial Unicode MS"/>
          <w:lang w:val="pt-PT"/>
        </w:rPr>
        <w:t xml:space="preserve">FTO </w:t>
      </w:r>
      <w:r>
        <w:rPr>
          <w:rStyle w:val="Hyperlink0"/>
          <w:rFonts w:eastAsia="Arial Unicode MS"/>
        </w:rPr>
        <w:t xml:space="preserve">та rs17782313 у гені </w:t>
      </w:r>
      <w:r>
        <w:rPr>
          <w:rStyle w:val="Hyperlink0"/>
          <w:rFonts w:eastAsia="Arial Unicode MS"/>
          <w:lang w:val="de-DE"/>
        </w:rPr>
        <w:t xml:space="preserve">MC4R </w:t>
      </w:r>
      <w:r w:rsidRPr="00FC55DB">
        <w:rPr>
          <w:rStyle w:val="Hyperlink0"/>
          <w:rFonts w:eastAsia="Arial Unicode MS"/>
        </w:rPr>
        <w:t>були пов</w:t>
      </w:r>
      <w:r>
        <w:rPr>
          <w:rStyle w:val="Hyperlink0"/>
          <w:rFonts w:eastAsia="Arial Unicode MS"/>
        </w:rPr>
        <w:t xml:space="preserve">'язані з підвищеним ризиком ожиріння з коефіцієнтом шансів (OR) 1.37 та 1.36 відповідно. Ці результати підкреслюють важливість генетичних факторів у розвитку ожиріння та цукрового діабету в азійських популяціях </w:t>
      </w:r>
      <w:r>
        <w:rPr>
          <w:rStyle w:val="Hyperlink0"/>
          <w:rFonts w:eastAsia="Arial Unicode MS"/>
          <w:lang w:val="pt-PT"/>
        </w:rPr>
        <w:t>[11].</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Інші дослідження також підтримують ці висновки. Наприклад, огляд, опублікований у </w:t>
      </w:r>
      <w:r>
        <w:rPr>
          <w:rStyle w:val="None"/>
          <w:rFonts w:ascii="Times New Roman" w:hAnsi="Times New Roman"/>
          <w:i/>
          <w:iCs/>
          <w:sz w:val="28"/>
          <w:szCs w:val="28"/>
          <w:lang w:val="de-DE"/>
        </w:rPr>
        <w:t>SpringerLink</w:t>
      </w:r>
      <w:r>
        <w:rPr>
          <w:rStyle w:val="Hyperlink0"/>
          <w:rFonts w:eastAsia="Arial Unicode MS"/>
        </w:rPr>
        <w:t xml:space="preserve"> у липні </w:t>
      </w:r>
      <w:r w:rsidRPr="00FC55DB">
        <w:rPr>
          <w:rStyle w:val="Hyperlink0"/>
          <w:rFonts w:eastAsia="Arial Unicode MS"/>
        </w:rPr>
        <w:t>2024 року</w:t>
      </w:r>
      <w:r>
        <w:rPr>
          <w:rStyle w:val="Hyperlink0"/>
          <w:rFonts w:eastAsia="Arial Unicode MS"/>
        </w:rPr>
        <w:t xml:space="preserve">, зазначає, що поліморфізми в генах, таких як </w:t>
      </w:r>
      <w:r>
        <w:rPr>
          <w:rStyle w:val="Hyperlink0"/>
          <w:rFonts w:eastAsia="Arial Unicode MS"/>
          <w:lang w:val="de-DE"/>
        </w:rPr>
        <w:t xml:space="preserve">FTO, MC4R, LEP, LEPR, </w:t>
      </w:r>
      <w:r>
        <w:rPr>
          <w:rStyle w:val="Hyperlink0"/>
          <w:rFonts w:eastAsia="Arial Unicode MS"/>
        </w:rPr>
        <w:t>та POMC, асоціюються з ризиком розвитку ожиріння. Ці гени беруть участь у регуляції апетиту, енергетичного балансу та метаболізму жирової тканини, що робить їх важливими мішенями для досліджень ожиріння.</w:t>
      </w:r>
    </w:p>
    <w:p w:rsidR="003C0557" w:rsidRDefault="00030A4E">
      <w:pPr>
        <w:pStyle w:val="Default"/>
        <w:spacing w:before="0" w:line="360" w:lineRule="auto"/>
        <w:ind w:firstLine="720"/>
        <w:jc w:val="both"/>
        <w:rPr>
          <w:rStyle w:val="Hyperlink0"/>
          <w:rFonts w:eastAsia="Arial Unicode MS"/>
        </w:rPr>
      </w:pPr>
      <w:r w:rsidRPr="00FC55DB">
        <w:rPr>
          <w:rStyle w:val="Hyperlink0"/>
          <w:rFonts w:eastAsia="Arial Unicode MS"/>
        </w:rPr>
        <w:t>Загалом</w:t>
      </w:r>
      <w:r>
        <w:rPr>
          <w:rStyle w:val="Hyperlink0"/>
          <w:rFonts w:eastAsia="Arial Unicode MS"/>
        </w:rPr>
        <w:t>, ці дослідження підкреслюють важливість генетичних факторів у розвитку ожиріння та супутніх метаболічних порушень. Розуміння ролі конкретних поліморфізмів може допомогти в розробці персоналізованих стратегій профілактики та лікування ожиріння, особливо в контексті різних етнічних груп.</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Ожиріння є складним метаболічним розладом, що виникає внаслідок взаємодії генетичних, екологічних та поведінкових чинників. Згідно з дослідженням Hossen et al. (2024), генетичні варіанти відіграють важливу роль у розвитку ожиріння, зокрема через поліморфізми в генах, які регулюють апетит, ліпідний обмін та енергетичний баланс. Серед таких генів виділяються </w:t>
      </w:r>
      <w:r>
        <w:rPr>
          <w:rStyle w:val="Hyperlink0"/>
          <w:rFonts w:eastAsia="Arial Unicode MS"/>
          <w:lang w:val="de-DE"/>
        </w:rPr>
        <w:t xml:space="preserve">POMC, LEP, LEPR, MC4R, FTO, TMEM18, SH2B1, KCTD15 </w:t>
      </w:r>
      <w:r>
        <w:rPr>
          <w:rStyle w:val="Hyperlink0"/>
          <w:rFonts w:eastAsia="Arial Unicode MS"/>
        </w:rPr>
        <w:t xml:space="preserve">та </w:t>
      </w:r>
      <w:r>
        <w:rPr>
          <w:rStyle w:val="Hyperlink0"/>
          <w:rFonts w:eastAsia="Arial Unicode MS"/>
          <w:lang w:val="de-DE"/>
        </w:rPr>
        <w:t>NEGR1.</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Одним із найбільш вивчених генів є </w:t>
      </w:r>
      <w:r>
        <w:rPr>
          <w:rStyle w:val="Hyperlink0"/>
          <w:rFonts w:eastAsia="Arial Unicode MS"/>
          <w:lang w:val="en-US"/>
        </w:rPr>
        <w:t>FTO</w:t>
      </w:r>
      <w:r w:rsidRPr="00FC55DB">
        <w:rPr>
          <w:rStyle w:val="Hyperlink0"/>
          <w:rFonts w:eastAsia="Arial Unicode MS"/>
        </w:rPr>
        <w:t xml:space="preserve"> (</w:t>
      </w:r>
      <w:r>
        <w:rPr>
          <w:rStyle w:val="Hyperlink0"/>
          <w:rFonts w:eastAsia="Arial Unicode MS"/>
          <w:lang w:val="en-US"/>
        </w:rPr>
        <w:t>Fat</w:t>
      </w:r>
      <w:r w:rsidRPr="00FC55DB">
        <w:rPr>
          <w:rStyle w:val="Hyperlink0"/>
          <w:rFonts w:eastAsia="Arial Unicode MS"/>
        </w:rPr>
        <w:t xml:space="preserve"> </w:t>
      </w:r>
      <w:r>
        <w:rPr>
          <w:rStyle w:val="Hyperlink0"/>
          <w:rFonts w:eastAsia="Arial Unicode MS"/>
          <w:lang w:val="en-US"/>
        </w:rPr>
        <w:t>Mass</w:t>
      </w:r>
      <w:r w:rsidRPr="00FC55DB">
        <w:rPr>
          <w:rStyle w:val="Hyperlink0"/>
          <w:rFonts w:eastAsia="Arial Unicode MS"/>
        </w:rPr>
        <w:t xml:space="preserve"> </w:t>
      </w:r>
      <w:r>
        <w:rPr>
          <w:rStyle w:val="Hyperlink0"/>
          <w:rFonts w:eastAsia="Arial Unicode MS"/>
          <w:lang w:val="en-US"/>
        </w:rPr>
        <w:t>and</w:t>
      </w:r>
      <w:r w:rsidRPr="00FC55DB">
        <w:rPr>
          <w:rStyle w:val="Hyperlink0"/>
          <w:rFonts w:eastAsia="Arial Unicode MS"/>
        </w:rPr>
        <w:t xml:space="preserve"> </w:t>
      </w:r>
      <w:r>
        <w:rPr>
          <w:rStyle w:val="Hyperlink0"/>
          <w:rFonts w:eastAsia="Arial Unicode MS"/>
          <w:lang w:val="en-US"/>
        </w:rPr>
        <w:t>Obesity</w:t>
      </w:r>
      <w:r w:rsidRPr="00FC55DB">
        <w:rPr>
          <w:rStyle w:val="Hyperlink0"/>
          <w:rFonts w:eastAsia="Arial Unicode MS"/>
        </w:rPr>
        <w:t>-</w:t>
      </w:r>
      <w:r>
        <w:rPr>
          <w:rStyle w:val="Hyperlink0"/>
          <w:rFonts w:eastAsia="Arial Unicode MS"/>
          <w:lang w:val="en-US"/>
        </w:rPr>
        <w:t>Associated</w:t>
      </w:r>
      <w:r w:rsidRPr="00FC55DB">
        <w:rPr>
          <w:rStyle w:val="Hyperlink0"/>
          <w:rFonts w:eastAsia="Arial Unicode MS"/>
        </w:rPr>
        <w:t xml:space="preserve">), </w:t>
      </w:r>
      <w:r>
        <w:rPr>
          <w:rStyle w:val="Hyperlink0"/>
          <w:rFonts w:eastAsia="Arial Unicode MS"/>
        </w:rPr>
        <w:t xml:space="preserve">поліморфізми якого, зокрема rs9939609, rs17817449 та rs8050136, асоціюються з підвищеним ризиком розвитку ожиріння. Ці варіанти генів впливають на апетит, споживання їжі та енергетичний баланс, що може призводити до збільшення маси тіла. </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lastRenderedPageBreak/>
        <w:t xml:space="preserve">Інші важливі гени, пов'язані з ожирінням, </w:t>
      </w:r>
      <w:r w:rsidRPr="00FC55DB">
        <w:rPr>
          <w:rStyle w:val="Hyperlink0"/>
          <w:rFonts w:eastAsia="Arial Unicode MS"/>
        </w:rPr>
        <w:t xml:space="preserve">включають </w:t>
      </w:r>
      <w:r>
        <w:rPr>
          <w:rStyle w:val="Hyperlink0"/>
          <w:rFonts w:eastAsia="Arial Unicode MS"/>
          <w:lang w:val="de-DE"/>
        </w:rPr>
        <w:t xml:space="preserve">MC4R, </w:t>
      </w:r>
      <w:r>
        <w:rPr>
          <w:rStyle w:val="Hyperlink0"/>
          <w:rFonts w:eastAsia="Arial Unicode MS"/>
        </w:rPr>
        <w:t>який регулює апетит і енергетичний баланс</w:t>
      </w:r>
      <w:r>
        <w:rPr>
          <w:rStyle w:val="Hyperlink0"/>
          <w:rFonts w:eastAsia="Arial Unicode MS"/>
          <w:lang w:val="de-DE"/>
        </w:rPr>
        <w:t xml:space="preserve">, LEPR, </w:t>
      </w:r>
      <w:r>
        <w:rPr>
          <w:rStyle w:val="Hyperlink0"/>
          <w:rFonts w:eastAsia="Arial Unicode MS"/>
        </w:rPr>
        <w:t>що кодує рецептор лептину, гормону, який знижує апетит, та TMEM18, який впливає на поведінку харчування. Поліморфізми в цих генах можуть змінювати чутливість до лептину, що впливає на споживання їжі та масу тіла.</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Дослідження також показали, що генетичні варіанти можуть впливати на відповідь організму на фізичні навантаження. Наприклад, поліморфізм в гені </w:t>
      </w:r>
      <w:r>
        <w:rPr>
          <w:rStyle w:val="Hyperlink0"/>
          <w:rFonts w:eastAsia="Arial Unicode MS"/>
          <w:lang w:val="pt-PT"/>
        </w:rPr>
        <w:t xml:space="preserve">UCP2 </w:t>
      </w:r>
      <w:r>
        <w:rPr>
          <w:rStyle w:val="Hyperlink0"/>
          <w:rFonts w:eastAsia="Arial Unicode MS"/>
        </w:rPr>
        <w:t>може змінювати ефективність термогенезу та метаболізму жирів під час фізичних вправ. Це свідчить про те, що індивідуальні генетичні особливості можуть впливати на ефективність програм фізичної активності для профілактики та лікування ожиріння.</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У майбутньому важливо проводити додаткові дослідження для кращого розуміння взаємодії між генетичними варіантами, фізичною активністю та харчовими звичками. Це дозволить розробити персоналізовані підходи до профілактики та лікування ожиріння, враховуючи індивідуальні генетичні особливості кожної людини.</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Отже, дослідження поліморфізмів генів, асоційованих із жировим обміном, </w:t>
      </w:r>
      <w:r w:rsidRPr="00FC55DB">
        <w:rPr>
          <w:rStyle w:val="Hyperlink0"/>
          <w:rFonts w:eastAsia="Arial Unicode MS"/>
        </w:rPr>
        <w:t>демонструють</w:t>
      </w:r>
      <w:r>
        <w:rPr>
          <w:rStyle w:val="Hyperlink0"/>
          <w:rFonts w:eastAsia="Arial Unicode MS"/>
        </w:rPr>
        <w:t>, що генетичні фактори можуть значно впливати на індивідуальні ризики розвитку ожиріння та метаболічних порушень. Розуміння цих взаємозв’язків є основою для створення персоналізованих стратегій профілактики та лікування порушень обміну жирів, що включає врахування як генетичних, так і харчових, а також фізіологічних чинників.</w:t>
      </w:r>
    </w:p>
    <w:p w:rsidR="003C0557" w:rsidRDefault="003C0557">
      <w:pPr>
        <w:pStyle w:val="Default"/>
        <w:spacing w:before="0" w:line="360" w:lineRule="auto"/>
        <w:ind w:firstLine="720"/>
        <w:jc w:val="both"/>
        <w:rPr>
          <w:rStyle w:val="None"/>
          <w:rFonts w:ascii="Times New Roman" w:eastAsia="Times New Roman" w:hAnsi="Times New Roman" w:cs="Times New Roman"/>
          <w:sz w:val="28"/>
          <w:szCs w:val="28"/>
        </w:rPr>
      </w:pPr>
    </w:p>
    <w:p w:rsidR="003C0557" w:rsidRPr="00FC55DB" w:rsidRDefault="00030A4E">
      <w:pPr>
        <w:pStyle w:val="2"/>
        <w:rPr>
          <w:rStyle w:val="None"/>
          <w:sz w:val="30"/>
          <w:szCs w:val="30"/>
          <w:lang w:val="ru-RU"/>
        </w:rPr>
      </w:pPr>
      <w:bookmarkStart w:id="5" w:name="_Toc4"/>
      <w:r w:rsidRPr="00FC55DB">
        <w:rPr>
          <w:rStyle w:val="None"/>
          <w:rFonts w:eastAsia="Arial Unicode MS" w:cs="Arial Unicode MS"/>
          <w:sz w:val="30"/>
          <w:szCs w:val="30"/>
          <w:lang w:val="ru-RU"/>
        </w:rPr>
        <w:t>1.3. Вплив фізичних навантажень на експресію генів жирового обміну</w:t>
      </w:r>
      <w:bookmarkEnd w:id="5"/>
    </w:p>
    <w:p w:rsidR="003C0557" w:rsidRDefault="003C0557">
      <w:pPr>
        <w:pStyle w:val="Default"/>
        <w:spacing w:before="0" w:line="360" w:lineRule="auto"/>
        <w:ind w:firstLine="720"/>
        <w:jc w:val="both"/>
        <w:rPr>
          <w:rStyle w:val="None"/>
          <w:rFonts w:ascii="Times New Roman" w:eastAsia="Times New Roman" w:hAnsi="Times New Roman" w:cs="Times New Roman"/>
          <w:sz w:val="28"/>
          <w:szCs w:val="28"/>
        </w:rPr>
      </w:pP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Фізична активність визнається одним із ключових елементів здорового способу життя, адже накопичуються переконливі дані про її позитивний вплив як на фізичне, так і на психічне здоров’я (Kumar, 2017). Серед основних переваг регулярних вправ – покращення функцій серцево-судинної та дихальної систем </w:t>
      </w:r>
      <w:r>
        <w:rPr>
          <w:rStyle w:val="Hyperlink0"/>
          <w:rFonts w:eastAsia="Arial Unicode MS"/>
        </w:rPr>
        <w:lastRenderedPageBreak/>
        <w:t xml:space="preserve">(Harms et al., 2000; Sofi et al., 2008), підвищення м’язової сили та зміцнення кісток (Liberman et al., 2017). Крім того, доведено, що регулярна фізична активність знижує ризик розвитку численних захворювань, </w:t>
      </w:r>
      <w:r w:rsidRPr="00FC55DB">
        <w:rPr>
          <w:rStyle w:val="Hyperlink0"/>
          <w:rFonts w:eastAsia="Arial Unicode MS"/>
        </w:rPr>
        <w:t>включаючи серцево</w:t>
      </w:r>
      <w:r>
        <w:rPr>
          <w:rStyle w:val="Hyperlink0"/>
          <w:rFonts w:eastAsia="Arial Unicode MS"/>
        </w:rPr>
        <w:t xml:space="preserve">-судинні розлади (Lee et al., 2012), діабет </w:t>
      </w:r>
      <w:r w:rsidRPr="00FC55DB">
        <w:rPr>
          <w:rStyle w:val="Hyperlink0"/>
          <w:rFonts w:eastAsia="Arial Unicode MS"/>
        </w:rPr>
        <w:t>(</w:t>
      </w:r>
      <w:r>
        <w:rPr>
          <w:rStyle w:val="Hyperlink0"/>
          <w:rFonts w:eastAsia="Arial Unicode MS"/>
          <w:lang w:val="en-US"/>
        </w:rPr>
        <w:t>Roberts</w:t>
      </w:r>
      <w:r w:rsidRPr="00FC55DB">
        <w:rPr>
          <w:rStyle w:val="Hyperlink0"/>
          <w:rFonts w:eastAsia="Arial Unicode MS"/>
        </w:rPr>
        <w:t xml:space="preserve"> </w:t>
      </w:r>
      <w:r>
        <w:rPr>
          <w:rStyle w:val="Hyperlink0"/>
          <w:rFonts w:eastAsia="Arial Unicode MS"/>
          <w:lang w:val="en-US"/>
        </w:rPr>
        <w:t>and</w:t>
      </w:r>
      <w:r w:rsidRPr="00FC55DB">
        <w:rPr>
          <w:rStyle w:val="Hyperlink0"/>
          <w:rFonts w:eastAsia="Arial Unicode MS"/>
        </w:rPr>
        <w:t xml:space="preserve"> </w:t>
      </w:r>
      <w:r>
        <w:rPr>
          <w:rStyle w:val="Hyperlink0"/>
          <w:rFonts w:eastAsia="Arial Unicode MS"/>
          <w:lang w:val="en-US"/>
        </w:rPr>
        <w:t>Barnard</w:t>
      </w:r>
      <w:r w:rsidRPr="00FC55DB">
        <w:rPr>
          <w:rStyle w:val="Hyperlink0"/>
          <w:rFonts w:eastAsia="Arial Unicode MS"/>
        </w:rPr>
        <w:t xml:space="preserve">, 2005; </w:t>
      </w:r>
      <w:r>
        <w:rPr>
          <w:rStyle w:val="Hyperlink0"/>
          <w:rFonts w:eastAsia="Arial Unicode MS"/>
          <w:lang w:val="en-US"/>
        </w:rPr>
        <w:t>Lee</w:t>
      </w:r>
      <w:r w:rsidRPr="00FC55DB">
        <w:rPr>
          <w:rStyle w:val="Hyperlink0"/>
          <w:rFonts w:eastAsia="Arial Unicode MS"/>
        </w:rPr>
        <w:t xml:space="preserve"> </w:t>
      </w:r>
      <w:r>
        <w:rPr>
          <w:rStyle w:val="Hyperlink0"/>
          <w:rFonts w:eastAsia="Arial Unicode MS"/>
          <w:lang w:val="en-US"/>
        </w:rPr>
        <w:t>et</w:t>
      </w:r>
      <w:r w:rsidRPr="00FC55DB">
        <w:rPr>
          <w:rStyle w:val="Hyperlink0"/>
          <w:rFonts w:eastAsia="Arial Unicode MS"/>
        </w:rPr>
        <w:t xml:space="preserve"> </w:t>
      </w:r>
      <w:r>
        <w:rPr>
          <w:rStyle w:val="Hyperlink0"/>
          <w:rFonts w:eastAsia="Arial Unicode MS"/>
          <w:lang w:val="en-US"/>
        </w:rPr>
        <w:t>al</w:t>
      </w:r>
      <w:r w:rsidRPr="00FC55DB">
        <w:rPr>
          <w:rStyle w:val="Hyperlink0"/>
          <w:rFonts w:eastAsia="Arial Unicode MS"/>
        </w:rPr>
        <w:t xml:space="preserve">., 2012) </w:t>
      </w:r>
      <w:r>
        <w:rPr>
          <w:rStyle w:val="Hyperlink0"/>
          <w:rFonts w:eastAsia="Arial Unicode MS"/>
        </w:rPr>
        <w:t xml:space="preserve">та деякі види пухлин </w:t>
      </w:r>
      <w:r w:rsidRPr="00FC55DB">
        <w:rPr>
          <w:rStyle w:val="Hyperlink0"/>
          <w:rFonts w:eastAsia="Arial Unicode MS"/>
        </w:rPr>
        <w:t>(</w:t>
      </w:r>
      <w:r>
        <w:rPr>
          <w:rStyle w:val="Hyperlink0"/>
          <w:rFonts w:eastAsia="Arial Unicode MS"/>
          <w:lang w:val="en-US"/>
        </w:rPr>
        <w:t>Roberts</w:t>
      </w:r>
      <w:r w:rsidRPr="00FC55DB">
        <w:rPr>
          <w:rStyle w:val="Hyperlink0"/>
          <w:rFonts w:eastAsia="Arial Unicode MS"/>
        </w:rPr>
        <w:t xml:space="preserve"> </w:t>
      </w:r>
      <w:r>
        <w:rPr>
          <w:rStyle w:val="Hyperlink0"/>
          <w:rFonts w:eastAsia="Arial Unicode MS"/>
          <w:lang w:val="en-US"/>
        </w:rPr>
        <w:t>and</w:t>
      </w:r>
      <w:r w:rsidRPr="00FC55DB">
        <w:rPr>
          <w:rStyle w:val="Hyperlink0"/>
          <w:rFonts w:eastAsia="Arial Unicode MS"/>
        </w:rPr>
        <w:t xml:space="preserve"> </w:t>
      </w:r>
      <w:r>
        <w:rPr>
          <w:rStyle w:val="Hyperlink0"/>
          <w:rFonts w:eastAsia="Arial Unicode MS"/>
          <w:lang w:val="en-US"/>
        </w:rPr>
        <w:t>Barnard</w:t>
      </w:r>
      <w:r w:rsidRPr="00FC55DB">
        <w:rPr>
          <w:rStyle w:val="Hyperlink0"/>
          <w:rFonts w:eastAsia="Arial Unicode MS"/>
        </w:rPr>
        <w:t xml:space="preserve">, 2005; </w:t>
      </w:r>
      <w:r>
        <w:rPr>
          <w:rStyle w:val="Hyperlink0"/>
          <w:rFonts w:eastAsia="Arial Unicode MS"/>
          <w:lang w:val="en-US"/>
        </w:rPr>
        <w:t>Jones</w:t>
      </w:r>
      <w:r w:rsidRPr="00FC55DB">
        <w:rPr>
          <w:rStyle w:val="Hyperlink0"/>
          <w:rFonts w:eastAsia="Arial Unicode MS"/>
        </w:rPr>
        <w:t>, 2020).</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На клітинному рівні фізичні навантаження стимулюють процеси, що потребують АТФ, такі як регуляція мембранної збудливості, транспорт кальцію у саркоплазматичному ретикулумі та скорочення м’язових волокон </w:t>
      </w:r>
      <w:r w:rsidRPr="00FC55DB">
        <w:rPr>
          <w:rStyle w:val="Hyperlink0"/>
          <w:rFonts w:eastAsia="Arial Unicode MS"/>
        </w:rPr>
        <w:t>(</w:t>
      </w:r>
      <w:r>
        <w:rPr>
          <w:rStyle w:val="Hyperlink0"/>
          <w:rFonts w:eastAsia="Arial Unicode MS"/>
          <w:lang w:val="en-US"/>
        </w:rPr>
        <w:t>Hargreaves</w:t>
      </w:r>
      <w:r w:rsidRPr="00FC55DB">
        <w:rPr>
          <w:rStyle w:val="Hyperlink0"/>
          <w:rFonts w:eastAsia="Arial Unicode MS"/>
        </w:rPr>
        <w:t xml:space="preserve"> </w:t>
      </w:r>
      <w:r>
        <w:rPr>
          <w:rStyle w:val="Hyperlink0"/>
          <w:rFonts w:eastAsia="Arial Unicode MS"/>
          <w:lang w:val="en-US"/>
        </w:rPr>
        <w:t>and</w:t>
      </w:r>
      <w:r w:rsidRPr="00FC55DB">
        <w:rPr>
          <w:rStyle w:val="Hyperlink0"/>
          <w:rFonts w:eastAsia="Arial Unicode MS"/>
        </w:rPr>
        <w:t xml:space="preserve"> </w:t>
      </w:r>
      <w:r>
        <w:rPr>
          <w:rStyle w:val="Hyperlink0"/>
          <w:rFonts w:eastAsia="Arial Unicode MS"/>
          <w:lang w:val="en-US"/>
        </w:rPr>
        <w:t>Spriet</w:t>
      </w:r>
      <w:r w:rsidRPr="00FC55DB">
        <w:rPr>
          <w:rStyle w:val="Hyperlink0"/>
          <w:rFonts w:eastAsia="Arial Unicode MS"/>
        </w:rPr>
        <w:t xml:space="preserve">, 2020). </w:t>
      </w:r>
      <w:r>
        <w:rPr>
          <w:rStyle w:val="Hyperlink0"/>
          <w:rFonts w:eastAsia="Arial Unicode MS"/>
        </w:rPr>
        <w:t>Оскільки внутрішньом’язові запаси АТФ є обмеженими, вони не можуть забезпечувати тривалу контрактильну активність, і для цього активуються інші метаболічні шляхи – субстратного рівня та окисного фосфорилювання, або, іншими словами, анаеробні та аеробні шляхи. Аеробний шлях вимагає ефективної роботи серцево-судинної та дихальної систем для забезпечення м’язів достатньою кількістю кисню. Хоча анаеробні шляхи забезпечують високий темп продукції АТФ, загальна кількість отриманого АТФ менша, ніж при аеробних процесах (Sahlin et al., 1998).</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Хоча окремі сеанси інтенсивного тренування можуть спричиняти ушкодження тканин та викликати локальні й системні запальні реакції з виділенням цитокінів </w:t>
      </w:r>
      <w:r>
        <w:rPr>
          <w:rStyle w:val="Hyperlink0"/>
          <w:rFonts w:eastAsia="Arial Unicode MS"/>
          <w:lang w:val="da-DK"/>
        </w:rPr>
        <w:t xml:space="preserve">(Bruunsgaard et al., 1997), </w:t>
      </w:r>
      <w:r>
        <w:rPr>
          <w:rStyle w:val="Hyperlink0"/>
          <w:rFonts w:eastAsia="Arial Unicode MS"/>
        </w:rPr>
        <w:t>регулярна фізична активність сприяє зменшенню запальних процесів і формуванню протизапального середовища (Radom-Aizik et al., 2009a; Radom-Aizik et al., 2009b). Крім того, вправи можуть модулювати експресію генів, що контролюють функцію мозку, тим самим впливаючи на навчання та пам’ять (Tong et al., 2001).</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Вплив фізичних навантажень простежується і на регуляцію мікроРНК </w:t>
      </w:r>
      <w:r>
        <w:rPr>
          <w:rStyle w:val="Hyperlink0"/>
          <w:rFonts w:eastAsia="Arial Unicode MS"/>
          <w:lang w:val="de-DE"/>
        </w:rPr>
        <w:t xml:space="preserve">(miRNAs) </w:t>
      </w:r>
      <w:r>
        <w:rPr>
          <w:rStyle w:val="Hyperlink0"/>
          <w:rFonts w:eastAsia="Arial Unicode MS"/>
        </w:rPr>
        <w:t xml:space="preserve">– важливих молекул, що контролюють експресію генів. Наприклад, рівень </w:t>
      </w:r>
      <w:r>
        <w:rPr>
          <w:rStyle w:val="Hyperlink0"/>
          <w:rFonts w:eastAsia="Arial Unicode MS"/>
          <w:lang w:val="it-IT"/>
        </w:rPr>
        <w:t xml:space="preserve">miR-126, </w:t>
      </w:r>
      <w:r>
        <w:rPr>
          <w:rStyle w:val="Hyperlink0"/>
          <w:rFonts w:eastAsia="Arial Unicode MS"/>
        </w:rPr>
        <w:t xml:space="preserve">що взаємодіє з VCAM-1, змінювався після марафонського бігу та силових тренувань (Baggish et al., 2014; Uhlemann et al., 2014). Також повідомлялось про зміну експресії </w:t>
      </w:r>
      <w:r>
        <w:rPr>
          <w:rStyle w:val="Hyperlink0"/>
          <w:rFonts w:eastAsia="Arial Unicode MS"/>
          <w:lang w:val="it-IT"/>
        </w:rPr>
        <w:t xml:space="preserve">miR-221, </w:t>
      </w:r>
      <w:r>
        <w:rPr>
          <w:rStyle w:val="Hyperlink0"/>
          <w:rFonts w:eastAsia="Arial Unicode MS"/>
        </w:rPr>
        <w:t xml:space="preserve">що таргетує </w:t>
      </w:r>
      <w:r>
        <w:rPr>
          <w:rStyle w:val="Hyperlink0"/>
          <w:rFonts w:eastAsia="Arial Unicode MS"/>
          <w:lang w:val="nl-NL"/>
        </w:rPr>
        <w:t xml:space="preserve">CDKN1C, </w:t>
      </w:r>
      <w:r>
        <w:rPr>
          <w:rStyle w:val="Hyperlink0"/>
          <w:rFonts w:eastAsia="Arial Unicode MS"/>
        </w:rPr>
        <w:t xml:space="preserve">після велоергометрії </w:t>
      </w:r>
      <w:r>
        <w:rPr>
          <w:rStyle w:val="Hyperlink0"/>
          <w:rFonts w:eastAsia="Arial Unicode MS"/>
          <w:lang w:val="it-IT"/>
        </w:rPr>
        <w:t xml:space="preserve">(Baggish et al., 2011), </w:t>
      </w:r>
      <w:r>
        <w:rPr>
          <w:rStyle w:val="Hyperlink0"/>
          <w:rFonts w:eastAsia="Arial Unicode MS"/>
        </w:rPr>
        <w:t xml:space="preserve">а miR-660 в моноцитах демонстрував регуляторні зміни під час цього ж виду тренувань (Radom-Aizik et al., 2014). Хоча вплив вправ на інші </w:t>
      </w:r>
      <w:r>
        <w:rPr>
          <w:rStyle w:val="Hyperlink0"/>
          <w:rFonts w:eastAsia="Arial Unicode MS"/>
          <w:lang w:val="de-DE"/>
        </w:rPr>
        <w:t xml:space="preserve">miRNAs </w:t>
      </w:r>
      <w:r>
        <w:rPr>
          <w:rStyle w:val="Hyperlink0"/>
          <w:rFonts w:eastAsia="Arial Unicode MS"/>
        </w:rPr>
        <w:t xml:space="preserve">також </w:t>
      </w:r>
      <w:r>
        <w:rPr>
          <w:rStyle w:val="Hyperlink0"/>
          <w:rFonts w:eastAsia="Arial Unicode MS"/>
        </w:rPr>
        <w:lastRenderedPageBreak/>
        <w:t xml:space="preserve">підтверджений, конкретні мішені їх дії залишаються недостатньо вивченими </w:t>
      </w:r>
      <w:r>
        <w:rPr>
          <w:rStyle w:val="Hyperlink0"/>
          <w:rFonts w:eastAsia="Arial Unicode MS"/>
          <w:lang w:val="fr-FR"/>
        </w:rPr>
        <w:t>(Flowers et al., 2015).</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Регулярні фізичні навантаження впливають на експресію генів у різних тканинах, особливо у скелетних м’язах, серці та мозку, що забезпечує покращення метаболізму, термогенезу та адаптацію до фізіологічних потреб організму (Woods et al., 2006). На основі цих даних майбутні дослідження мають зосередитись на визначенні впливу генетичних та епігенетичних факторів на індивідуальні фенотипи, пов’язані з фізичними вправами, використовуючи як експериментальні, так і системні біологічні методи, зокрема високопродуктивне секвенування </w:t>
      </w:r>
      <w:r w:rsidRPr="00FC55DB">
        <w:rPr>
          <w:rStyle w:val="Hyperlink0"/>
          <w:rFonts w:eastAsia="Arial Unicode MS"/>
        </w:rPr>
        <w:t>(</w:t>
      </w:r>
      <w:r>
        <w:rPr>
          <w:rStyle w:val="Hyperlink0"/>
          <w:rFonts w:eastAsia="Arial Unicode MS"/>
          <w:lang w:val="en-US"/>
        </w:rPr>
        <w:t>Kumar</w:t>
      </w:r>
      <w:r w:rsidRPr="00FC55DB">
        <w:rPr>
          <w:rStyle w:val="Hyperlink0"/>
          <w:rFonts w:eastAsia="Arial Unicode MS"/>
        </w:rPr>
        <w:t xml:space="preserve">, 2017; </w:t>
      </w:r>
      <w:r>
        <w:rPr>
          <w:rStyle w:val="Hyperlink0"/>
          <w:rFonts w:eastAsia="Arial Unicode MS"/>
          <w:lang w:val="en-US"/>
        </w:rPr>
        <w:t>Hargreaves</w:t>
      </w:r>
      <w:r w:rsidRPr="00FC55DB">
        <w:rPr>
          <w:rStyle w:val="Hyperlink0"/>
          <w:rFonts w:eastAsia="Arial Unicode MS"/>
        </w:rPr>
        <w:t xml:space="preserve"> </w:t>
      </w:r>
      <w:r>
        <w:rPr>
          <w:rStyle w:val="Hyperlink0"/>
          <w:rFonts w:eastAsia="Arial Unicode MS"/>
          <w:lang w:val="en-US"/>
        </w:rPr>
        <w:t>and</w:t>
      </w:r>
      <w:r w:rsidRPr="00FC55DB">
        <w:rPr>
          <w:rStyle w:val="Hyperlink0"/>
          <w:rFonts w:eastAsia="Arial Unicode MS"/>
        </w:rPr>
        <w:t xml:space="preserve"> </w:t>
      </w:r>
      <w:r>
        <w:rPr>
          <w:rStyle w:val="Hyperlink0"/>
          <w:rFonts w:eastAsia="Arial Unicode MS"/>
          <w:lang w:val="en-US"/>
        </w:rPr>
        <w:t>Spriet</w:t>
      </w:r>
      <w:r w:rsidRPr="00FC55DB">
        <w:rPr>
          <w:rStyle w:val="Hyperlink0"/>
          <w:rFonts w:eastAsia="Arial Unicode MS"/>
        </w:rPr>
        <w:t>, 2020).</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Фізичні навантаження відіграють ключову роль у регуляції експресії генів, що контролюють жировий обмін, і їх вплив є багатовимірним. Під час виконання аеробних або анаеробних вправ у скелетних м’язах активуються сигнальні шляхи, які стимулюють вироблення міокінів — спеціалізованих білкових молекул, що діють як гормони і здатні впливати на метаболізм жиру в інших тканинах (Hossen et al., 2024). Міокіни, серед яких особливе значення має іризин, сприяють «побурінню» білої жирової тканини, що підвищує термогенез і окислення жирних кислот, а також модулюють активність генів, пов’язаних із β-окисленням і транспортуванням ліпідів </w:t>
      </w:r>
      <w:r w:rsidRPr="00FC55DB">
        <w:rPr>
          <w:rStyle w:val="Hyperlink0"/>
          <w:rFonts w:eastAsia="Arial Unicode MS"/>
        </w:rPr>
        <w:t>(</w:t>
      </w:r>
      <w:r>
        <w:rPr>
          <w:rStyle w:val="Hyperlink0"/>
          <w:rFonts w:eastAsia="Arial Unicode MS"/>
          <w:lang w:val="en-US"/>
        </w:rPr>
        <w:t>Bostr</w:t>
      </w:r>
      <w:r>
        <w:rPr>
          <w:rStyle w:val="Hyperlink0"/>
          <w:rFonts w:eastAsia="Arial Unicode MS"/>
          <w:lang w:val="sv-SE"/>
        </w:rPr>
        <w:t>ö</w:t>
      </w:r>
      <w:r>
        <w:rPr>
          <w:rStyle w:val="Hyperlink0"/>
          <w:rFonts w:eastAsia="Arial Unicode MS"/>
        </w:rPr>
        <w:t>m et al., 2012; Hossen et al., 2024).</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Регулярна фізична активність здатна модифікувати експресію генів </w:t>
      </w:r>
      <w:r>
        <w:rPr>
          <w:rStyle w:val="Hyperlink0"/>
          <w:rFonts w:eastAsia="Arial Unicode MS"/>
          <w:lang w:val="de-DE"/>
        </w:rPr>
        <w:t xml:space="preserve">FTO, MC4R, LEPR </w:t>
      </w:r>
      <w:r>
        <w:rPr>
          <w:rStyle w:val="Hyperlink0"/>
          <w:rFonts w:eastAsia="Arial Unicode MS"/>
        </w:rPr>
        <w:t xml:space="preserve">та інших, які є ключовими у формуванні ризику ожиріння. Наприклад, носії ризикових алелів гена </w:t>
      </w:r>
      <w:r>
        <w:rPr>
          <w:rStyle w:val="Hyperlink0"/>
          <w:rFonts w:eastAsia="Arial Unicode MS"/>
          <w:lang w:val="pt-PT"/>
        </w:rPr>
        <w:t xml:space="preserve">FTO </w:t>
      </w:r>
      <w:r>
        <w:rPr>
          <w:rStyle w:val="Hyperlink0"/>
          <w:rFonts w:eastAsia="Arial Unicode MS"/>
        </w:rPr>
        <w:t>демонструють підвищену схильність до збільшення маси тіла, однак у разі регулярних фізичних навантажень спостерігається часткова компенсація цього ефекту завдяки активації катаболічних процесів і підвищенню чутливості до інсуліну (Hossen et al., 2024). Аналогічним чином, фізичні вправи можуть впливати на активність генів, що регулюють секрецію лептину та його рецепторну чутливість, що забезпечує кращу регуляцію апетиту та енергетичного балансу.</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Вплив фізичних навантажень також проявляється у змінах експресії генів, що регулюють мітохондріальну функцію. Під час аеробних вправ підвищується </w:t>
      </w:r>
      <w:r>
        <w:rPr>
          <w:rStyle w:val="Hyperlink0"/>
          <w:rFonts w:eastAsia="Arial Unicode MS"/>
        </w:rPr>
        <w:lastRenderedPageBreak/>
        <w:t xml:space="preserve">активність </w:t>
      </w:r>
      <w:r>
        <w:rPr>
          <w:rStyle w:val="Hyperlink0"/>
          <w:rFonts w:eastAsia="Arial Unicode MS"/>
          <w:lang w:val="fr-FR"/>
        </w:rPr>
        <w:t>PGC-1</w:t>
      </w:r>
      <w:r>
        <w:rPr>
          <w:rStyle w:val="Hyperlink0"/>
          <w:rFonts w:eastAsia="Arial Unicode MS"/>
        </w:rPr>
        <w:t xml:space="preserve">α </w:t>
      </w:r>
      <w:r w:rsidRPr="00FC55DB">
        <w:rPr>
          <w:rStyle w:val="Hyperlink0"/>
          <w:rFonts w:eastAsia="Arial Unicode MS"/>
        </w:rPr>
        <w:t>(</w:t>
      </w:r>
      <w:r>
        <w:rPr>
          <w:rStyle w:val="Hyperlink0"/>
          <w:rFonts w:eastAsia="Arial Unicode MS"/>
          <w:lang w:val="en-US"/>
        </w:rPr>
        <w:t>peroxisome</w:t>
      </w:r>
      <w:r w:rsidRPr="00FC55DB">
        <w:rPr>
          <w:rStyle w:val="Hyperlink0"/>
          <w:rFonts w:eastAsia="Arial Unicode MS"/>
        </w:rPr>
        <w:t xml:space="preserve"> </w:t>
      </w:r>
      <w:r>
        <w:rPr>
          <w:rStyle w:val="Hyperlink0"/>
          <w:rFonts w:eastAsia="Arial Unicode MS"/>
          <w:lang w:val="en-US"/>
        </w:rPr>
        <w:t>proliferator</w:t>
      </w:r>
      <w:r w:rsidRPr="00FC55DB">
        <w:rPr>
          <w:rStyle w:val="Hyperlink0"/>
          <w:rFonts w:eastAsia="Arial Unicode MS"/>
        </w:rPr>
        <w:t>-</w:t>
      </w:r>
      <w:r>
        <w:rPr>
          <w:rStyle w:val="Hyperlink0"/>
          <w:rFonts w:eastAsia="Arial Unicode MS"/>
          <w:lang w:val="en-US"/>
        </w:rPr>
        <w:t>activated</w:t>
      </w:r>
      <w:r w:rsidRPr="00FC55DB">
        <w:rPr>
          <w:rStyle w:val="Hyperlink0"/>
          <w:rFonts w:eastAsia="Arial Unicode MS"/>
        </w:rPr>
        <w:t xml:space="preserve"> </w:t>
      </w:r>
      <w:r>
        <w:rPr>
          <w:rStyle w:val="Hyperlink0"/>
          <w:rFonts w:eastAsia="Arial Unicode MS"/>
          <w:lang w:val="en-US"/>
        </w:rPr>
        <w:t>receptor</w:t>
      </w:r>
      <w:r w:rsidRPr="00FC55DB">
        <w:rPr>
          <w:rStyle w:val="Hyperlink0"/>
          <w:rFonts w:eastAsia="Arial Unicode MS"/>
        </w:rPr>
        <w:t xml:space="preserve"> </w:t>
      </w:r>
      <w:r>
        <w:rPr>
          <w:rStyle w:val="Hyperlink0"/>
          <w:rFonts w:eastAsia="Arial Unicode MS"/>
          <w:lang w:val="en-US"/>
        </w:rPr>
        <w:t>gamma</w:t>
      </w:r>
      <w:r w:rsidRPr="00FC55DB">
        <w:rPr>
          <w:rStyle w:val="Hyperlink0"/>
          <w:rFonts w:eastAsia="Arial Unicode MS"/>
        </w:rPr>
        <w:t xml:space="preserve"> </w:t>
      </w:r>
      <w:r>
        <w:rPr>
          <w:rStyle w:val="Hyperlink0"/>
          <w:rFonts w:eastAsia="Arial Unicode MS"/>
          <w:lang w:val="en-US"/>
        </w:rPr>
        <w:t>coactivator</w:t>
      </w:r>
      <w:r w:rsidRPr="00FC55DB">
        <w:rPr>
          <w:rStyle w:val="Hyperlink0"/>
          <w:rFonts w:eastAsia="Arial Unicode MS"/>
        </w:rPr>
        <w:t xml:space="preserve"> 1-</w:t>
      </w:r>
      <w:r>
        <w:rPr>
          <w:rStyle w:val="Hyperlink0"/>
          <w:rFonts w:eastAsia="Arial Unicode MS"/>
          <w:lang w:val="en-US"/>
        </w:rPr>
        <w:t>alpha</w:t>
      </w:r>
      <w:r w:rsidRPr="00FC55DB">
        <w:rPr>
          <w:rStyle w:val="Hyperlink0"/>
          <w:rFonts w:eastAsia="Arial Unicode MS"/>
        </w:rPr>
        <w:t xml:space="preserve">), </w:t>
      </w:r>
      <w:r>
        <w:rPr>
          <w:rStyle w:val="Hyperlink0"/>
          <w:rFonts w:eastAsia="Arial Unicode MS"/>
        </w:rPr>
        <w:t>який стимулює біогенез мітохондрій і β-окислення жирних кислот у м’язах, забезпечуючи ефективне спалювання енергії (Hossen et al., 2024). Ці молекулярні адаптації знижують накопичення жирової тканини і сприяють покращенню метаболічного профілю організму.</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Крім того, фізичні навантаження мають протизапальну дію, що також опосередковує їхній вплив на жировий обмін. Під час вправ зменшується рівень прозапальних цитокінів, таких як </w:t>
      </w:r>
      <w:r>
        <w:rPr>
          <w:rStyle w:val="Hyperlink0"/>
          <w:rFonts w:eastAsia="Arial Unicode MS"/>
          <w:lang w:val="en-US"/>
        </w:rPr>
        <w:t>TNF</w:t>
      </w:r>
      <w:r w:rsidRPr="00FC55DB">
        <w:rPr>
          <w:rStyle w:val="Hyperlink0"/>
          <w:rFonts w:eastAsia="Arial Unicode MS"/>
        </w:rPr>
        <w:t>-</w:t>
      </w:r>
      <w:r>
        <w:rPr>
          <w:rStyle w:val="Hyperlink0"/>
          <w:rFonts w:eastAsia="Arial Unicode MS"/>
        </w:rPr>
        <w:t>α та IL-6, у крові, одночасно збільшуючи вироблення протизапальних молекул. Цей ефект сприяє зниженню інсулінорезистентності та покращенню метаболізму ліпідів у адипоцитах і печінці (Hossen et al., 2024).</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Фізичні навантаження не лише стимулюють скоротливу функцію м’язів, а й виступають як потужний регулятор експресії генів, що відповідають за ліпідний обмін, підвищують окислення жирних кислот, покращують чутливість до гормонів та запобігають надлишковому накопиченню жирової тканини. Це підкреслює важливість включення фізичної активності у персоналізовані програми корекції маси тіла з урахуванням генетичного профілю (Hossen et al., 2024).</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Різні типи фізичної активності впливають на експресію генів жирового обміну по-різному. Аеробні вправи, такі як біг, плавання або велосипед, здебільшого активують сигнальні шляхи, що підвищують катаболізм жирних кислот. Зокрема, вони стимулюють експресію генів </w:t>
      </w:r>
      <w:r>
        <w:rPr>
          <w:rStyle w:val="Hyperlink0"/>
          <w:rFonts w:eastAsia="Arial Unicode MS"/>
          <w:lang w:val="es-ES_tradnl"/>
        </w:rPr>
        <w:t>PPAR</w:t>
      </w:r>
      <w:r>
        <w:rPr>
          <w:rStyle w:val="Hyperlink0"/>
          <w:rFonts w:eastAsia="Arial Unicode MS"/>
        </w:rPr>
        <w:t xml:space="preserve">α </w:t>
      </w:r>
      <w:r w:rsidRPr="00FC55DB">
        <w:rPr>
          <w:rStyle w:val="Hyperlink0"/>
          <w:rFonts w:eastAsia="Arial Unicode MS"/>
        </w:rPr>
        <w:t>(</w:t>
      </w:r>
      <w:r>
        <w:rPr>
          <w:rStyle w:val="Hyperlink0"/>
          <w:rFonts w:eastAsia="Arial Unicode MS"/>
          <w:lang w:val="en-US"/>
        </w:rPr>
        <w:t>peroxisome</w:t>
      </w:r>
      <w:r w:rsidRPr="00FC55DB">
        <w:rPr>
          <w:rStyle w:val="Hyperlink0"/>
          <w:rFonts w:eastAsia="Arial Unicode MS"/>
        </w:rPr>
        <w:t xml:space="preserve"> </w:t>
      </w:r>
      <w:r>
        <w:rPr>
          <w:rStyle w:val="Hyperlink0"/>
          <w:rFonts w:eastAsia="Arial Unicode MS"/>
          <w:lang w:val="en-US"/>
        </w:rPr>
        <w:t>proliferator</w:t>
      </w:r>
      <w:r w:rsidRPr="00FC55DB">
        <w:rPr>
          <w:rStyle w:val="Hyperlink0"/>
          <w:rFonts w:eastAsia="Arial Unicode MS"/>
        </w:rPr>
        <w:t>-</w:t>
      </w:r>
      <w:r>
        <w:rPr>
          <w:rStyle w:val="Hyperlink0"/>
          <w:rFonts w:eastAsia="Arial Unicode MS"/>
          <w:lang w:val="en-US"/>
        </w:rPr>
        <w:t>activated</w:t>
      </w:r>
      <w:r w:rsidRPr="00FC55DB">
        <w:rPr>
          <w:rStyle w:val="Hyperlink0"/>
          <w:rFonts w:eastAsia="Arial Unicode MS"/>
        </w:rPr>
        <w:t xml:space="preserve"> </w:t>
      </w:r>
      <w:r>
        <w:rPr>
          <w:rStyle w:val="Hyperlink0"/>
          <w:rFonts w:eastAsia="Arial Unicode MS"/>
          <w:lang w:val="en-US"/>
        </w:rPr>
        <w:t>receptor</w:t>
      </w:r>
      <w:r w:rsidRPr="00FC55DB">
        <w:rPr>
          <w:rStyle w:val="Hyperlink0"/>
          <w:rFonts w:eastAsia="Arial Unicode MS"/>
        </w:rPr>
        <w:t xml:space="preserve"> </w:t>
      </w:r>
      <w:r>
        <w:rPr>
          <w:rStyle w:val="Hyperlink0"/>
          <w:rFonts w:eastAsia="Arial Unicode MS"/>
          <w:lang w:val="en-US"/>
        </w:rPr>
        <w:t>alpha</w:t>
      </w:r>
      <w:r w:rsidRPr="00FC55DB">
        <w:rPr>
          <w:rStyle w:val="Hyperlink0"/>
          <w:rFonts w:eastAsia="Arial Unicode MS"/>
        </w:rPr>
        <w:t xml:space="preserve">) </w:t>
      </w:r>
      <w:r>
        <w:rPr>
          <w:rStyle w:val="Hyperlink0"/>
          <w:rFonts w:eastAsia="Arial Unicode MS"/>
        </w:rPr>
        <w:t xml:space="preserve">та </w:t>
      </w:r>
      <w:r>
        <w:rPr>
          <w:rStyle w:val="Hyperlink0"/>
          <w:rFonts w:eastAsia="Arial Unicode MS"/>
          <w:lang w:val="fr-FR"/>
        </w:rPr>
        <w:t xml:space="preserve">CPT1 (carnitine palmitoyltransferase 1), </w:t>
      </w:r>
      <w:r>
        <w:rPr>
          <w:rStyle w:val="Hyperlink0"/>
          <w:rFonts w:eastAsia="Arial Unicode MS"/>
        </w:rPr>
        <w:t xml:space="preserve">що підсилюють транспортування жирних кислот у мітохондрії та їхнє β-окислення, забезпечуючи більш ефективне спалювання енергії (Hossen et al., 2024). Крім того, аеробна активність стимулює </w:t>
      </w:r>
      <w:r>
        <w:rPr>
          <w:rStyle w:val="Hyperlink0"/>
          <w:rFonts w:eastAsia="Arial Unicode MS"/>
          <w:lang w:val="fr-FR"/>
        </w:rPr>
        <w:t>PGC-1</w:t>
      </w:r>
      <w:r>
        <w:rPr>
          <w:rStyle w:val="Hyperlink0"/>
          <w:rFonts w:eastAsia="Arial Unicode MS"/>
        </w:rPr>
        <w:t>α, який не лише підтримує мітохондріальний біогенез, але й опосередковує експресію термогенних генів, що сприяє «побурінню» білої жирової тканини.</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Силові або анаеробні тренування, </w:t>
      </w:r>
      <w:r>
        <w:rPr>
          <w:rStyle w:val="Hyperlink0"/>
          <w:rFonts w:eastAsia="Arial Unicode MS"/>
          <w:lang w:val="ru-RU"/>
        </w:rPr>
        <w:t>навпаки</w:t>
      </w:r>
      <w:r>
        <w:rPr>
          <w:rStyle w:val="Hyperlink0"/>
          <w:rFonts w:eastAsia="Arial Unicode MS"/>
        </w:rPr>
        <w:t xml:space="preserve">, впливають насамперед на скелетні м’язи та їхню здатність продукувати міокіни, серед яких особливе значення має іризин. Цей міокін стимулює перетворення білої жирової тканини у бурий або «буроподібний» тип, збільшуючи споживання енергії і термогенез </w:t>
      </w:r>
      <w:r w:rsidRPr="00FC55DB">
        <w:rPr>
          <w:rStyle w:val="Hyperlink0"/>
          <w:rFonts w:eastAsia="Arial Unicode MS"/>
        </w:rPr>
        <w:t>(</w:t>
      </w:r>
      <w:r>
        <w:rPr>
          <w:rStyle w:val="Hyperlink0"/>
          <w:rFonts w:eastAsia="Arial Unicode MS"/>
          <w:lang w:val="en-US"/>
        </w:rPr>
        <w:t>Bostr</w:t>
      </w:r>
      <w:r>
        <w:rPr>
          <w:rStyle w:val="Hyperlink0"/>
          <w:rFonts w:eastAsia="Arial Unicode MS"/>
          <w:lang w:val="sv-SE"/>
        </w:rPr>
        <w:t>ö</w:t>
      </w:r>
      <w:r>
        <w:rPr>
          <w:rStyle w:val="Hyperlink0"/>
          <w:rFonts w:eastAsia="Arial Unicode MS"/>
        </w:rPr>
        <w:t xml:space="preserve">m et al., </w:t>
      </w:r>
      <w:r>
        <w:rPr>
          <w:rStyle w:val="Hyperlink0"/>
          <w:rFonts w:eastAsia="Arial Unicode MS"/>
        </w:rPr>
        <w:lastRenderedPageBreak/>
        <w:t>2012; Hossen et al., 2024). Також силові вправи підвищують експресію генів GLUT4, що покращує транспортування глюкози до м’язів і сприяє підтриманню нормального гомеостазу енергії.</w:t>
      </w:r>
    </w:p>
    <w:p w:rsidR="003C0557" w:rsidRDefault="00030A4E">
      <w:pPr>
        <w:pStyle w:val="Default"/>
        <w:spacing w:before="0" w:line="360" w:lineRule="auto"/>
        <w:ind w:firstLine="720"/>
        <w:jc w:val="both"/>
        <w:rPr>
          <w:rStyle w:val="Hyperlink0"/>
          <w:rFonts w:eastAsia="Arial Unicode MS"/>
        </w:rPr>
      </w:pPr>
      <w:r w:rsidRPr="00FC55DB">
        <w:rPr>
          <w:rStyle w:val="Hyperlink0"/>
          <w:rFonts w:eastAsia="Arial Unicode MS"/>
        </w:rPr>
        <w:t>Варто зазначити</w:t>
      </w:r>
      <w:r>
        <w:rPr>
          <w:rStyle w:val="Hyperlink0"/>
          <w:rFonts w:eastAsia="Arial Unicode MS"/>
        </w:rPr>
        <w:t xml:space="preserve">, що фізична активність може модулювати експресію генів, що відповідають за секрецію і чутливість до гормонів, таких як інсулін і лептин. Регулярні тренування підвищують чутливість до інсуліну, що зменшує ризик інсулінорезистентності і ожиріння, навіть у носіїв ризикових поліморфізмів </w:t>
      </w:r>
      <w:r>
        <w:rPr>
          <w:rStyle w:val="Hyperlink0"/>
          <w:rFonts w:eastAsia="Arial Unicode MS"/>
          <w:lang w:val="pt-PT"/>
        </w:rPr>
        <w:t xml:space="preserve">FTO </w:t>
      </w:r>
      <w:r>
        <w:rPr>
          <w:rStyle w:val="Hyperlink0"/>
          <w:rFonts w:eastAsia="Arial Unicode MS"/>
        </w:rPr>
        <w:t>або LEPR (Hossen et al., 2024). У дітей і дорослих з високим ризиком розвитку метаболічного синдрому фізичні вправи можуть частково компенсувати негативний вплив цих генетичних варіантів.</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Крім того, фізична активність впливає на епігенетичні механізми регуляції генів жирового обміну. Тренування можуть змінювати метилювання ДНК, модифікувати гістони та регулювати експресію мікроРНК, що контролюють активність ключових генів ліпідного метаболізму, таких як </w:t>
      </w:r>
      <w:r>
        <w:rPr>
          <w:rStyle w:val="Hyperlink0"/>
          <w:rFonts w:eastAsia="Arial Unicode MS"/>
          <w:lang w:val="fr-FR"/>
        </w:rPr>
        <w:t>FTO, PGC-1</w:t>
      </w:r>
      <w:r>
        <w:rPr>
          <w:rStyle w:val="Hyperlink0"/>
          <w:rFonts w:eastAsia="Arial Unicode MS"/>
        </w:rPr>
        <w:t>α</w:t>
      </w:r>
      <w:r>
        <w:rPr>
          <w:rStyle w:val="Hyperlink0"/>
          <w:rFonts w:eastAsia="Arial Unicode MS"/>
          <w:lang w:val="pt-PT"/>
        </w:rPr>
        <w:t xml:space="preserve">, UCP1 </w:t>
      </w:r>
      <w:r>
        <w:rPr>
          <w:rStyle w:val="Hyperlink0"/>
          <w:rFonts w:eastAsia="Arial Unicode MS"/>
        </w:rPr>
        <w:t xml:space="preserve">і </w:t>
      </w:r>
      <w:r>
        <w:rPr>
          <w:rStyle w:val="Hyperlink0"/>
          <w:rFonts w:eastAsia="Arial Unicode MS"/>
          <w:lang w:val="pt-PT"/>
        </w:rPr>
        <w:t xml:space="preserve">CPT1. </w:t>
      </w:r>
      <w:r>
        <w:rPr>
          <w:rStyle w:val="Hyperlink0"/>
          <w:rFonts w:eastAsia="Arial Unicode MS"/>
        </w:rPr>
        <w:t>Це забезпечує довготривалі зміни метаболічної активності навіть після завершення курсу тренувань (Hossen et al., 2024).</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Отже, фізичні навантаження виступають як потужний модифікатор генетичних факторів жирового обміну, сприяючи підвищенню катаболізму жирів, термогенезу, чутливості до гормонів і загального метаболічного здоров’я. Водночас вони можуть частково компенсувати негативний вплив генетично обумовлених поліморфізмів, що асоційовані з ожирінням та метаболічними розладами. Це підкреслює необхідність персоналізованого підходу до фізичної активності, який враховує індивідуальний генетичний профіль людини.</w:t>
      </w:r>
    </w:p>
    <w:p w:rsidR="003C0557" w:rsidRDefault="003C0557">
      <w:pPr>
        <w:pStyle w:val="Default"/>
        <w:spacing w:before="0" w:line="360" w:lineRule="auto"/>
        <w:rPr>
          <w:rStyle w:val="None"/>
          <w:rFonts w:ascii="Times New Roman" w:eastAsia="Times New Roman" w:hAnsi="Times New Roman" w:cs="Times New Roman"/>
          <w:sz w:val="28"/>
          <w:szCs w:val="28"/>
        </w:rPr>
      </w:pPr>
    </w:p>
    <w:p w:rsidR="003C0557" w:rsidRPr="00FC55DB" w:rsidRDefault="00030A4E">
      <w:pPr>
        <w:pStyle w:val="2"/>
        <w:rPr>
          <w:rStyle w:val="None"/>
          <w:sz w:val="30"/>
          <w:szCs w:val="30"/>
          <w:lang w:val="ru-RU"/>
        </w:rPr>
      </w:pPr>
      <w:bookmarkStart w:id="6" w:name="_Toc5"/>
      <w:r w:rsidRPr="00FC55DB">
        <w:rPr>
          <w:rStyle w:val="None"/>
          <w:rFonts w:eastAsia="Arial Unicode MS" w:cs="Arial Unicode MS"/>
          <w:sz w:val="30"/>
          <w:szCs w:val="30"/>
          <w:lang w:val="ru-RU"/>
        </w:rPr>
        <w:t>1.4. Персоналізований підхід до корекції маси тіла на основі генетичного профілю</w:t>
      </w:r>
      <w:bookmarkEnd w:id="6"/>
    </w:p>
    <w:p w:rsidR="003C0557" w:rsidRDefault="003C0557">
      <w:pPr>
        <w:pStyle w:val="Default"/>
        <w:spacing w:before="0" w:line="360" w:lineRule="auto"/>
        <w:ind w:firstLine="720"/>
        <w:jc w:val="both"/>
        <w:rPr>
          <w:rStyle w:val="None"/>
          <w:rFonts w:ascii="Times New Roman" w:eastAsia="Times New Roman" w:hAnsi="Times New Roman" w:cs="Times New Roman"/>
          <w:sz w:val="28"/>
          <w:szCs w:val="28"/>
        </w:rPr>
      </w:pP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Персоналізований підхід до корекції маси тіла ґрунтується на врахуванні індивідуальних генетичних особливостей людини, що впливають на метаболізм, накопичення жирової тканини та відповідь на харчові і фізичні втручання. </w:t>
      </w:r>
      <w:r>
        <w:rPr>
          <w:rStyle w:val="Hyperlink0"/>
          <w:rFonts w:eastAsia="Arial Unicode MS"/>
        </w:rPr>
        <w:lastRenderedPageBreak/>
        <w:t xml:space="preserve">Дослідження показують, що поліморфізми в генах, пов’язаних із жировим обміном, таких як </w:t>
      </w:r>
      <w:r>
        <w:rPr>
          <w:rStyle w:val="Hyperlink0"/>
          <w:rFonts w:eastAsia="Arial Unicode MS"/>
          <w:lang w:val="de-DE"/>
        </w:rPr>
        <w:t>FTO, MC4R, LEPR, FNDC5, PGC-1</w:t>
      </w:r>
      <w:r>
        <w:rPr>
          <w:rStyle w:val="Hyperlink0"/>
          <w:rFonts w:eastAsia="Arial Unicode MS"/>
        </w:rPr>
        <w:t xml:space="preserve">α та </w:t>
      </w:r>
      <w:r>
        <w:rPr>
          <w:rStyle w:val="Hyperlink0"/>
          <w:rFonts w:eastAsia="Arial Unicode MS"/>
          <w:lang w:val="da-DK"/>
        </w:rPr>
        <w:t xml:space="preserve">VDR, </w:t>
      </w:r>
      <w:r>
        <w:rPr>
          <w:rStyle w:val="Hyperlink0"/>
          <w:rFonts w:eastAsia="Arial Unicode MS"/>
        </w:rPr>
        <w:t xml:space="preserve">можуть визначати схильність до ожиріння, чутливість до інсуліну та реакцію на фізичні навантаження і дієтичні режими. Наприклад, носії ризикових алелів гена </w:t>
      </w:r>
      <w:r>
        <w:rPr>
          <w:rStyle w:val="Hyperlink0"/>
          <w:rFonts w:eastAsia="Arial Unicode MS"/>
          <w:lang w:val="pt-PT"/>
        </w:rPr>
        <w:t xml:space="preserve">FTO </w:t>
      </w:r>
      <w:r>
        <w:rPr>
          <w:rStyle w:val="Hyperlink0"/>
          <w:rFonts w:eastAsia="Arial Unicode MS"/>
        </w:rPr>
        <w:t xml:space="preserve">частіше демонструють підвищену масу жирової тканини та схильність до надмірного споживання калорій, тоді як поліморфізми гена </w:t>
      </w:r>
      <w:r>
        <w:rPr>
          <w:rStyle w:val="Hyperlink0"/>
          <w:rFonts w:eastAsia="Arial Unicode MS"/>
          <w:lang w:val="fr-FR"/>
        </w:rPr>
        <w:t xml:space="preserve">FNDC5 </w:t>
      </w:r>
      <w:r>
        <w:rPr>
          <w:rStyle w:val="Hyperlink0"/>
          <w:rFonts w:eastAsia="Arial Unicode MS"/>
        </w:rPr>
        <w:t xml:space="preserve">впливають на експресію іризину, що модулює термогенез бурої жирової тканини та регуляцію метаболізму. Врахування генетичних варіантів LEPR дозволяє прогнозувати індивідуальні реакції на рівень лептину та контроль апетиту, а варіанти гена </w:t>
      </w:r>
      <w:r>
        <w:rPr>
          <w:rStyle w:val="Hyperlink0"/>
          <w:rFonts w:eastAsia="Arial Unicode MS"/>
          <w:lang w:val="da-DK"/>
        </w:rPr>
        <w:t xml:space="preserve">VDR </w:t>
      </w:r>
      <w:r>
        <w:rPr>
          <w:rStyle w:val="Hyperlink0"/>
          <w:rFonts w:eastAsia="Arial Unicode MS"/>
        </w:rPr>
        <w:t xml:space="preserve">можуть впливати на метаболізм кальцію і фосфору, що непрямо корелює з масою тіла та складанням кісткової і м’язової тканини </w:t>
      </w:r>
      <w:r>
        <w:rPr>
          <w:rStyle w:val="Hyperlink0"/>
          <w:rFonts w:eastAsia="Arial Unicode MS"/>
          <w:lang w:val="pt-PT"/>
        </w:rPr>
        <w:t xml:space="preserve">[12]. </w:t>
      </w:r>
      <w:r>
        <w:rPr>
          <w:rStyle w:val="Hyperlink0"/>
          <w:rFonts w:eastAsia="Arial Unicode MS"/>
        </w:rPr>
        <w:t>Персоналізація втручань включає підбір оптимального харчового режиму, який враховує генетично детерміновану ефективність метаболічних шляхів, а також розробку індивідуальних програм фізичної активності, спрямованих на стимуляцію термогенезу, β-окислення жирних кислот і експресії міокінів, таких як іризин, що підвищують енерговитрати. Сучасні підходи передбачають використання генетичного тестування для визначення поліморфізмів, які модулюють апетит, засвоєння поживних речовин, активність гормонів та реакцію на фізичні навантаження, що дозволяє створювати персоналізовані стратегії зниження маси тіла, мінімізуючи ризик метаболічних ускладнень і забезпечуючи довгострокове підтримання нормальної ваги. Успішна корекція маси тіла на основі генетичного профілю передбачає інтеграцію даних про харчові переваги, рівень фізичної активності, поліморфізми генів і стан мікробіоти, що дозволяє оптимізувати енергетичний баланс, підвищити чутливість до інсуліну, стимулювати окислення жирних кислот і запобігти розвитку ожиріння та його ускладнень. Такий підхід є перспективним для превентивної медицини та реабілітаційних програм, оскільки забезпечує комплексну оцінку ризиків і підбір терапевтичних стратегій, адаптованих до генетичних, метаболічних і поведінкових особливостей конкретної особи, що підвищує ефективність втручань і підтримує довготривалу нормалізацію маси тіла.</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lastRenderedPageBreak/>
        <w:t xml:space="preserve">Крім того, персоналізований підхід передбачає врахування епігенетичних модифікацій, які можуть змінювати експресію генів жирового обміну під впливом харчування, фізичних навантажень і способу життя. Наприклад, метилювання промоторних ділянок генів FTO, LEPR або </w:t>
      </w:r>
      <w:r>
        <w:rPr>
          <w:rStyle w:val="Hyperlink0"/>
          <w:rFonts w:eastAsia="Arial Unicode MS"/>
          <w:lang w:val="fr-FR"/>
        </w:rPr>
        <w:t>PGC-1</w:t>
      </w:r>
      <w:r>
        <w:rPr>
          <w:rStyle w:val="Hyperlink0"/>
          <w:rFonts w:eastAsia="Arial Unicode MS"/>
        </w:rPr>
        <w:t xml:space="preserve">α може змінювати їх активність і, як наслідок, впливати на накопичення жирової тканини та енергетичний баланс </w:t>
      </w:r>
      <w:r>
        <w:rPr>
          <w:rStyle w:val="Hyperlink0"/>
          <w:rFonts w:eastAsia="Arial Unicode MS"/>
          <w:lang w:val="pt-PT"/>
        </w:rPr>
        <w:t xml:space="preserve">[7]. </w:t>
      </w:r>
      <w:r>
        <w:rPr>
          <w:rStyle w:val="Hyperlink0"/>
          <w:rFonts w:eastAsia="Arial Unicode MS"/>
        </w:rPr>
        <w:t>Регулярна фізична активність у поєднанні з дієтою, адаптованою до генетичного профілю, може коригувати негативні ефекти ризикових алелів, стимулюючи β-окислення жирних кислот, підвищуючи термогенез бурої жирової тканини і покращуючи інсулінову чутливість. Також важливим компонентом є моніторинг маркерів метаболізму та гормональної активності, що дозволяє своєчасно коригувати втручання і досягати стабільних результатів. Використання сучасних технологій, таких як високопродуктивне секвенування та аналіз експресії генів, забезпечує більш точну оцінку індивідуальних особливостей метаболічних процесів, що дозволяє оптимізувати план корекції маси тіла, зменшити ризик ускладнень ожиріння, таких як інсулінорезистентність, дисліпідемія та серцево-судинні захворювання. У підсумку, інтеграція генетичних, епігенетичних та поведінкових факторів у персоналізовані програми корекції маси тіла створює надійну основу для довготривалого підтримання здорової ваги, покращення метаболічного здоров’я і зниження ризику хронічних захворювань, пов’язаних з ожирінням, що робить цей підхід перспективним напрямом у сфері превентивної та адаптивної медицини.</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Важливим аспектом персоналізованого підходу є також врахування впливу поліморфізмів генів, що регулюють апетит, енергетичний обмін і накопичення жиру, таких як </w:t>
      </w:r>
      <w:r>
        <w:rPr>
          <w:rStyle w:val="Hyperlink0"/>
          <w:rFonts w:eastAsia="Arial Unicode MS"/>
          <w:lang w:val="de-DE"/>
        </w:rPr>
        <w:t xml:space="preserve">FTO, MC4R, TMEM18, PPARG, LEPR </w:t>
      </w:r>
      <w:r>
        <w:rPr>
          <w:rStyle w:val="Hyperlink0"/>
          <w:rFonts w:eastAsia="Arial Unicode MS"/>
        </w:rPr>
        <w:t xml:space="preserve">та інші. Наприклад, носії ризикових алелів гена </w:t>
      </w:r>
      <w:r>
        <w:rPr>
          <w:rStyle w:val="Hyperlink0"/>
          <w:rFonts w:eastAsia="Arial Unicode MS"/>
          <w:lang w:val="pt-PT"/>
        </w:rPr>
        <w:t xml:space="preserve">FTO </w:t>
      </w:r>
      <w:r>
        <w:rPr>
          <w:rStyle w:val="Hyperlink0"/>
          <w:rFonts w:eastAsia="Arial Unicode MS"/>
        </w:rPr>
        <w:t xml:space="preserve">можуть демонструвати підвищену схильність до переїдання та накопичення жирової тканини, що вимагає корекції харчової поведінки та збільшення фізичної активності для досягнення ефективного зниження маси тіла </w:t>
      </w:r>
      <w:r>
        <w:rPr>
          <w:rStyle w:val="Hyperlink0"/>
          <w:rFonts w:eastAsia="Arial Unicode MS"/>
          <w:lang w:val="pt-PT"/>
        </w:rPr>
        <w:t xml:space="preserve">[3]. </w:t>
      </w:r>
      <w:r>
        <w:rPr>
          <w:rStyle w:val="Hyperlink0"/>
          <w:rFonts w:eastAsia="Arial Unicode MS"/>
        </w:rPr>
        <w:t xml:space="preserve">Подібним чином, варіанти генів, пов’язаних із термогенезом бурої жирової тканини або активністю β-окислення жирних кислот, можуть визначати індивідуальні відмінності у відповіді організму на фізичне навантаження та дієтичні втручання. Застосування генетичного тестування дозволяє створювати адаптовані </w:t>
      </w:r>
      <w:r>
        <w:rPr>
          <w:rStyle w:val="Hyperlink0"/>
          <w:rFonts w:eastAsia="Arial Unicode MS"/>
        </w:rPr>
        <w:lastRenderedPageBreak/>
        <w:t xml:space="preserve">програми харчування та тренувань, що враховують особливості метаболізму, схильність до інсулінорезистентності або дисліпідемії, і, </w:t>
      </w:r>
      <w:r w:rsidRPr="00FC55DB">
        <w:rPr>
          <w:rStyle w:val="Hyperlink0"/>
          <w:rFonts w:eastAsia="Arial Unicode MS"/>
        </w:rPr>
        <w:t>таким чином</w:t>
      </w:r>
      <w:r>
        <w:rPr>
          <w:rStyle w:val="Hyperlink0"/>
          <w:rFonts w:eastAsia="Arial Unicode MS"/>
        </w:rPr>
        <w:t>, підвищують ефективність втручань. Крім того, інтеграція даних про епігенетичні маркери і мікроРНК, що регулюють експресію генів жирового обміну, може допомогти прогнозувати індивідуальну реакцію на зміни способу життя та забезпечити більш точне коригування метаболічних процесів, що сприяє підтриманню оптимальної маси тіла та зниженню ризику метаболічних захворювань у довгостроковій перспективі.</w:t>
      </w:r>
    </w:p>
    <w:p w:rsidR="003C0557" w:rsidRDefault="003C0557">
      <w:pPr>
        <w:pStyle w:val="Default"/>
        <w:spacing w:before="0" w:line="240" w:lineRule="auto"/>
        <w:rPr>
          <w:rStyle w:val="None"/>
          <w:rFonts w:ascii="Times New Roman" w:eastAsia="Times New Roman" w:hAnsi="Times New Roman" w:cs="Times New Roman"/>
          <w:sz w:val="28"/>
          <w:szCs w:val="28"/>
        </w:rPr>
      </w:pPr>
    </w:p>
    <w:p w:rsidR="003C0557" w:rsidRPr="00FC55DB" w:rsidRDefault="00030A4E">
      <w:pPr>
        <w:pStyle w:val="2"/>
        <w:rPr>
          <w:rStyle w:val="None"/>
          <w:sz w:val="30"/>
          <w:szCs w:val="30"/>
          <w:lang w:val="ru-RU"/>
        </w:rPr>
      </w:pPr>
      <w:bookmarkStart w:id="7" w:name="_Toc6"/>
      <w:r w:rsidRPr="00FC55DB">
        <w:rPr>
          <w:rStyle w:val="None"/>
          <w:rFonts w:eastAsia="Arial Unicode MS" w:cs="Arial Unicode MS"/>
          <w:sz w:val="30"/>
          <w:szCs w:val="30"/>
          <w:lang w:val="ru-RU"/>
        </w:rPr>
        <w:t>Висновки до розділу 1</w:t>
      </w:r>
      <w:bookmarkEnd w:id="7"/>
    </w:p>
    <w:p w:rsidR="003C0557" w:rsidRDefault="003C0557">
      <w:pPr>
        <w:pStyle w:val="Default"/>
        <w:spacing w:before="0" w:line="360" w:lineRule="auto"/>
        <w:jc w:val="center"/>
        <w:rPr>
          <w:rStyle w:val="None"/>
          <w:rFonts w:ascii="Times New Roman" w:eastAsia="Times New Roman" w:hAnsi="Times New Roman" w:cs="Times New Roman"/>
          <w:b/>
          <w:bCs/>
          <w:sz w:val="28"/>
          <w:szCs w:val="28"/>
        </w:rPr>
      </w:pP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Розділ </w:t>
      </w:r>
      <w:r>
        <w:rPr>
          <w:rStyle w:val="Hyperlink0"/>
          <w:rFonts w:eastAsia="Arial Unicode MS"/>
          <w:lang w:val="ru-RU"/>
        </w:rPr>
        <w:t xml:space="preserve">1 </w:t>
      </w:r>
      <w:r>
        <w:rPr>
          <w:rStyle w:val="Hyperlink0"/>
          <w:rFonts w:eastAsia="Arial Unicode MS"/>
        </w:rPr>
        <w:t xml:space="preserve">показав, що генетичні фактори відіграють ключову роль у регуляції жирового обміну та визначенні індивідуальних особливостей маси тіла. Встановлено, що поліморфізми генів, таких як </w:t>
      </w:r>
      <w:r>
        <w:rPr>
          <w:rStyle w:val="Hyperlink0"/>
          <w:rFonts w:eastAsia="Arial Unicode MS"/>
          <w:lang w:val="de-DE"/>
        </w:rPr>
        <w:t xml:space="preserve">FTO, MC4R, PPARG, LEPR, FNDC5 </w:t>
      </w:r>
      <w:r>
        <w:rPr>
          <w:rStyle w:val="Hyperlink0"/>
          <w:rFonts w:eastAsia="Arial Unicode MS"/>
        </w:rPr>
        <w:t xml:space="preserve">та </w:t>
      </w:r>
      <w:r>
        <w:rPr>
          <w:rStyle w:val="Hyperlink0"/>
          <w:rFonts w:eastAsia="Arial Unicode MS"/>
          <w:lang w:val="da-DK"/>
        </w:rPr>
        <w:t xml:space="preserve">VDR, </w:t>
      </w:r>
      <w:r>
        <w:rPr>
          <w:rStyle w:val="Hyperlink0"/>
          <w:rFonts w:eastAsia="Arial Unicode MS"/>
        </w:rPr>
        <w:t xml:space="preserve">значною мірою впливають на накопичення жирової тканини, чутливість до інсуліну, апетит, енергетичний обмін та схильність до ожиріння. Було підтверджено, що деякі варіанти генів сприяють підвищеному ризику ожиріння та метаболічних порушень, тоді як інші можуть модулювати ефективність фізичних навантажень та дієтичних втручань. Крім того, </w:t>
      </w:r>
      <w:r w:rsidRPr="00FC55DB">
        <w:rPr>
          <w:rStyle w:val="Hyperlink0"/>
          <w:rFonts w:eastAsia="Arial Unicode MS"/>
        </w:rPr>
        <w:t>виявлено</w:t>
      </w:r>
      <w:r>
        <w:rPr>
          <w:rStyle w:val="Hyperlink0"/>
          <w:rFonts w:eastAsia="Arial Unicode MS"/>
        </w:rPr>
        <w:t xml:space="preserve">, що експресія генів жирового обміну може змінюватися під впливом фізичних навантажень, а також взаємодії між генетичними та епігенетичними механізмами, включаючи мікроРНК, що регулюють метаболічні шляхи. Ці дані підкреслюють необхідність персоналізованого підходу до корекції маси тіла, який враховує індивідуальні генетичні особливості, поліморфізми генів та їх вплив на метаболізм, що дозволяє оптимізувати програми харчування, фізичної активності та профілактики метаболічних захворювань. </w:t>
      </w:r>
      <w:r w:rsidRPr="00FC55DB">
        <w:rPr>
          <w:rStyle w:val="Hyperlink0"/>
          <w:rFonts w:eastAsia="Arial Unicode MS"/>
        </w:rPr>
        <w:t>Таким чином</w:t>
      </w:r>
      <w:r>
        <w:rPr>
          <w:rStyle w:val="Hyperlink0"/>
          <w:rFonts w:eastAsia="Arial Unicode MS"/>
        </w:rPr>
        <w:t>, генетичні детермінанти є фундаментальними для розуміння механізмів регуляції маси тіла та створення ефективних стратегій підтримки здорового енергетичного балансу.</w:t>
      </w:r>
    </w:p>
    <w:p w:rsidR="003C0557" w:rsidRPr="00FC55DB" w:rsidRDefault="00030A4E">
      <w:pPr>
        <w:rPr>
          <w:lang w:val="uk-UA"/>
        </w:rPr>
      </w:pPr>
      <w:r w:rsidRPr="00FC55DB">
        <w:rPr>
          <w:rStyle w:val="None"/>
          <w:rFonts w:ascii="Arial Unicode MS" w:eastAsia="Arial Unicode MS" w:hAnsi="Arial Unicode MS" w:cs="Arial Unicode MS"/>
          <w:lang w:val="uk-UA"/>
        </w:rPr>
        <w:br w:type="page"/>
      </w:r>
    </w:p>
    <w:p w:rsidR="003C0557" w:rsidRDefault="00030A4E">
      <w:pPr>
        <w:pStyle w:val="1"/>
        <w:rPr>
          <w:rStyle w:val="None"/>
        </w:rPr>
      </w:pPr>
      <w:bookmarkStart w:id="8" w:name="_Toc7"/>
      <w:r>
        <w:rPr>
          <w:rStyle w:val="None"/>
          <w:rFonts w:eastAsia="Arial Unicode MS" w:cs="Arial Unicode MS"/>
        </w:rPr>
        <w:lastRenderedPageBreak/>
        <w:t>РОЗДІЛ 2. МЕТОДИ ТА ОРГАНІЗАЦІЯ ДОСЛІДЖЕНЬ</w:t>
      </w:r>
      <w:bookmarkEnd w:id="8"/>
    </w:p>
    <w:p w:rsidR="003C0557" w:rsidRDefault="003C0557">
      <w:pPr>
        <w:pStyle w:val="Default"/>
        <w:spacing w:before="0" w:line="360" w:lineRule="auto"/>
        <w:ind w:firstLine="720"/>
        <w:jc w:val="both"/>
        <w:rPr>
          <w:rStyle w:val="None"/>
          <w:rFonts w:ascii="Times New Roman" w:eastAsia="Times New Roman" w:hAnsi="Times New Roman" w:cs="Times New Roman"/>
          <w:sz w:val="28"/>
          <w:szCs w:val="28"/>
        </w:rPr>
      </w:pPr>
    </w:p>
    <w:p w:rsidR="003C0557" w:rsidRPr="00FC55DB" w:rsidRDefault="00030A4E">
      <w:pPr>
        <w:pStyle w:val="2"/>
        <w:rPr>
          <w:rStyle w:val="None"/>
          <w:sz w:val="30"/>
          <w:szCs w:val="30"/>
          <w:lang w:val="ru-RU"/>
        </w:rPr>
      </w:pPr>
      <w:bookmarkStart w:id="9" w:name="_Toc8"/>
      <w:r w:rsidRPr="00FC55DB">
        <w:rPr>
          <w:rStyle w:val="None"/>
          <w:rFonts w:eastAsia="Arial Unicode MS" w:cs="Arial Unicode MS"/>
          <w:sz w:val="30"/>
          <w:szCs w:val="30"/>
          <w:lang w:val="ru-RU"/>
        </w:rPr>
        <w:t>2.1. Матеріал і методи досліджень</w:t>
      </w:r>
      <w:bookmarkEnd w:id="9"/>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Дослідження було спрямоване на аналіз особливостей втрати маси тіла в умовах фізичного навантаження з урахуванням різних генетичних варіацій, що впливають на метаболізм жиру. Матеріали та методи включали кілька ключових компонентів.</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Участниками дослідження були особи, для яких були зібрані детальні дані про стан здоров’я за результатами лабораторних обстежень та структурованих анкет. Лабораторні дані отримані з клініки Synevo (від </w:t>
      </w:r>
      <w:r w:rsidRPr="00FC55DB">
        <w:rPr>
          <w:rFonts w:ascii="Times New Roman" w:hAnsi="Times New Roman"/>
          <w:sz w:val="28"/>
          <w:szCs w:val="28"/>
        </w:rPr>
        <w:t xml:space="preserve">26.12.2024 </w:t>
      </w:r>
      <w:r>
        <w:rPr>
          <w:rFonts w:ascii="Times New Roman" w:hAnsi="Times New Roman"/>
          <w:sz w:val="28"/>
          <w:szCs w:val="28"/>
        </w:rPr>
        <w:t xml:space="preserve">та 27.12.2024) і включали показники біохімічних маркерів обміну ліпідів, рівня глюкози, інсуліну та функціональних показників печінки й нирок. Анкетування проводилося для збору інформації про харчові звички, рівень фізичної активності, сімейний анамнез і загальний стан здоров’я (дані від </w:t>
      </w:r>
      <w:r w:rsidRPr="00FC55DB">
        <w:rPr>
          <w:rFonts w:ascii="Times New Roman" w:hAnsi="Times New Roman"/>
          <w:sz w:val="28"/>
          <w:szCs w:val="28"/>
        </w:rPr>
        <w:t>27.12.2024).</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Додатково для оцінки генетичних детермінант проводився ДНК-аналіз за допомогою тесту Humess Complex DNA, що охоплює 102 показники здоров’я, включно з генами, асоційованими з ліпідним обміном та регуляцією маси тіла. ДНК була виділена з капілярної крові або слини за стандартними методами екстракції. Для визначення поліморфізмів застосовували технології планарного та масивного генотипування, що включали полімеразну ланцюгову реакцію (</w:t>
      </w:r>
      <w:r w:rsidRPr="00FC55DB">
        <w:rPr>
          <w:rFonts w:ascii="Times New Roman" w:hAnsi="Times New Roman"/>
          <w:sz w:val="28"/>
          <w:szCs w:val="28"/>
        </w:rPr>
        <w:t>ПЛР</w:t>
      </w:r>
      <w:r>
        <w:rPr>
          <w:rFonts w:ascii="Times New Roman" w:hAnsi="Times New Roman"/>
          <w:sz w:val="28"/>
          <w:szCs w:val="28"/>
        </w:rPr>
        <w:t xml:space="preserve">), флуоресцентну детекцію алелів та секвенування нового покоління </w:t>
      </w:r>
      <w:r w:rsidRPr="00FC55DB">
        <w:rPr>
          <w:rFonts w:ascii="Times New Roman" w:hAnsi="Times New Roman"/>
          <w:sz w:val="28"/>
          <w:szCs w:val="28"/>
        </w:rPr>
        <w:t>(</w:t>
      </w:r>
      <w:r>
        <w:rPr>
          <w:rFonts w:ascii="Times New Roman" w:hAnsi="Times New Roman"/>
          <w:sz w:val="28"/>
          <w:szCs w:val="28"/>
          <w:lang w:val="en-US"/>
        </w:rPr>
        <w:t>Next</w:t>
      </w:r>
      <w:r w:rsidRPr="00FC55DB">
        <w:rPr>
          <w:rFonts w:ascii="Times New Roman" w:hAnsi="Times New Roman"/>
          <w:sz w:val="28"/>
          <w:szCs w:val="28"/>
        </w:rPr>
        <w:t>-</w:t>
      </w:r>
      <w:r>
        <w:rPr>
          <w:rFonts w:ascii="Times New Roman" w:hAnsi="Times New Roman"/>
          <w:sz w:val="28"/>
          <w:szCs w:val="28"/>
          <w:lang w:val="en-US"/>
        </w:rPr>
        <w:t>Generation</w:t>
      </w:r>
      <w:r w:rsidRPr="00FC55DB">
        <w:rPr>
          <w:rFonts w:ascii="Times New Roman" w:hAnsi="Times New Roman"/>
          <w:sz w:val="28"/>
          <w:szCs w:val="28"/>
        </w:rPr>
        <w:t xml:space="preserve"> </w:t>
      </w:r>
      <w:r>
        <w:rPr>
          <w:rFonts w:ascii="Times New Roman" w:hAnsi="Times New Roman"/>
          <w:sz w:val="28"/>
          <w:szCs w:val="28"/>
          <w:lang w:val="en-US"/>
        </w:rPr>
        <w:t>Sequencing</w:t>
      </w:r>
      <w:r w:rsidRPr="00FC55DB">
        <w:rPr>
          <w:rFonts w:ascii="Times New Roman" w:hAnsi="Times New Roman"/>
          <w:sz w:val="28"/>
          <w:szCs w:val="28"/>
        </w:rPr>
        <w:t xml:space="preserve">, </w:t>
      </w:r>
      <w:r>
        <w:rPr>
          <w:rFonts w:ascii="Times New Roman" w:hAnsi="Times New Roman"/>
          <w:sz w:val="28"/>
          <w:szCs w:val="28"/>
          <w:lang w:val="en-US"/>
        </w:rPr>
        <w:t>NGS</w:t>
      </w:r>
      <w:r w:rsidRPr="00FC55DB">
        <w:rPr>
          <w:rFonts w:ascii="Times New Roman" w:hAnsi="Times New Roman"/>
          <w:sz w:val="28"/>
          <w:szCs w:val="28"/>
        </w:rPr>
        <w:t>).</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Біохімічні методи включали визначення рівня загального холестерину, ліпопротеїнів високої та низької щільності, тригліцеридів, а також маркерів окисного стресу та запальних процесів за допомогою спектрофотометричних, колориметричних та імуноферментних аналізів. Отримані дані дозволили інтегрувати біохімічні та генетичні показники для подальшого аналізу взаємозв’язку між генотипом, фізичною активністю та ефективністю втрати маси тіла.</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Збір проб: біологічні зразки крові, сечі та калу були відібрані для біохімічного, імунологічного та загально клінічного аналізу у лабораторії Synevo у </w:t>
      </w:r>
      <w:r>
        <w:rPr>
          <w:rStyle w:val="Hyperlink0"/>
          <w:rFonts w:eastAsia="Arial Unicode MS"/>
        </w:rPr>
        <w:lastRenderedPageBreak/>
        <w:t>Львові (</w:t>
      </w:r>
      <w:r w:rsidRPr="00FC55DB">
        <w:rPr>
          <w:rStyle w:val="Hyperlink0"/>
          <w:rFonts w:eastAsia="Arial Unicode MS"/>
        </w:rPr>
        <w:t>вул</w:t>
      </w:r>
      <w:r>
        <w:rPr>
          <w:rStyle w:val="Hyperlink0"/>
          <w:rFonts w:eastAsia="Arial Unicode MS"/>
        </w:rPr>
        <w:t>. Коновальця, 33). Зразки ДНК були отримані та проаналізовані провідною лабораторією у Данії, відповідно до стандартів ISO.</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Методи дослідження: біохімічний аналіз проводився з використанням автоматизованих аналізаторів </w:t>
      </w:r>
      <w:r>
        <w:rPr>
          <w:rStyle w:val="Hyperlink0"/>
          <w:rFonts w:eastAsia="Arial Unicode MS"/>
          <w:lang w:val="es-ES_tradnl"/>
        </w:rPr>
        <w:t xml:space="preserve">(Cobas 8000, Cobas Pro, Cobas 6000, Cobas e411) </w:t>
      </w:r>
      <w:r>
        <w:rPr>
          <w:rStyle w:val="Hyperlink0"/>
          <w:rFonts w:eastAsia="Arial Unicode MS"/>
        </w:rPr>
        <w:t xml:space="preserve">із реагентами </w:t>
      </w:r>
      <w:r>
        <w:rPr>
          <w:rStyle w:val="Hyperlink0"/>
          <w:rFonts w:eastAsia="Arial Unicode MS"/>
          <w:lang w:val="it-IT"/>
        </w:rPr>
        <w:t>Roche Diagnostics (</w:t>
      </w:r>
      <w:r>
        <w:rPr>
          <w:rStyle w:val="Hyperlink0"/>
          <w:rFonts w:eastAsia="Arial Unicode MS"/>
        </w:rPr>
        <w:t>Швейцарія). Параметри включали загальний білок, креатинін, холестерин, тригліцериди, ЛПВЩ, ЛНЩ, ЛДНЩ та С-реактивний білок. Імунологічний аналіз виконували методом електрохемілюмінесцентного аналізу (ECLIA) для визначення рівнів гормонів щитоподібної залози (T3, T4, ATPO), інсуліну та глюкози. Копрограма та аналіз сечі включали мікроскопічне дослідження зразків калу та сечі для оцінки травної функції та загального клінічного стану. Генетичний аналіз проводився командою міжнародних експертів (генетики, дієтологи, фізіологи та біоінформатики) із застосуванням сучасних наукових досліджень та доказової медицини для інтерпретації варіацій ДНК. Анкетування дозволяло отримати детальну інформацію про спосіб життя та харчові звички, фізичну активність та наявність скарг на здоров’я.</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Обробка даних здійснювалася за допомогою інформаційної системи лабораторії Synevo та біоінформатичних інструментів </w:t>
      </w:r>
      <w:r>
        <w:rPr>
          <w:rStyle w:val="Hyperlink0"/>
          <w:rFonts w:eastAsia="Arial Unicode MS"/>
          <w:lang w:val="en-US"/>
        </w:rPr>
        <w:t>Humess</w:t>
      </w:r>
      <w:r w:rsidRPr="00FC55DB">
        <w:rPr>
          <w:rStyle w:val="Hyperlink0"/>
          <w:rFonts w:eastAsia="Arial Unicode MS"/>
        </w:rPr>
        <w:t xml:space="preserve"> </w:t>
      </w:r>
      <w:r>
        <w:rPr>
          <w:rStyle w:val="Hyperlink0"/>
          <w:rFonts w:eastAsia="Arial Unicode MS"/>
        </w:rPr>
        <w:t>для надання персоналізованих висновків щодо стану здоров’я. Дослідження підкреслює інтерпретацію генетичної схильності та її вплив на метаболізм жиру та ефективність втрати маси тіла під час фізичного навантаження.</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Усі дослідження проводилися з дотриманням сучасних етичних норм і стандартів, що регламентують роботу з біологічними матеріалами та персональними даними учасників. Лабораторні результати самі по собі не є достатніми для встановлення діагнозу, тому їх інтерпретація здійснювалася у контексті клінічної інформації та з урахуванням консультацій відповідних фахівців.</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Учасники дослідження були поінформовані про цілі та методи дослідження, можливі ризики та конфіденційність отриманих даних, а також надали усну або письмову згоду на участь. Робота проводилася відповідно до «Декларації Гельсінкі» </w:t>
      </w:r>
      <w:r w:rsidRPr="00FC55DB">
        <w:rPr>
          <w:rFonts w:ascii="Times New Roman" w:hAnsi="Times New Roman"/>
          <w:sz w:val="28"/>
          <w:szCs w:val="28"/>
        </w:rPr>
        <w:t>(</w:t>
      </w:r>
      <w:r>
        <w:rPr>
          <w:rFonts w:ascii="Times New Roman" w:hAnsi="Times New Roman"/>
          <w:sz w:val="28"/>
          <w:szCs w:val="28"/>
          <w:lang w:val="en-US"/>
        </w:rPr>
        <w:t>World</w:t>
      </w:r>
      <w:r w:rsidRPr="00FC55DB">
        <w:rPr>
          <w:rFonts w:ascii="Times New Roman" w:hAnsi="Times New Roman"/>
          <w:sz w:val="28"/>
          <w:szCs w:val="28"/>
        </w:rPr>
        <w:t xml:space="preserve"> </w:t>
      </w:r>
      <w:r>
        <w:rPr>
          <w:rFonts w:ascii="Times New Roman" w:hAnsi="Times New Roman"/>
          <w:sz w:val="28"/>
          <w:szCs w:val="28"/>
          <w:lang w:val="en-US"/>
        </w:rPr>
        <w:t>Medical</w:t>
      </w:r>
      <w:r w:rsidRPr="00FC55DB">
        <w:rPr>
          <w:rFonts w:ascii="Times New Roman" w:hAnsi="Times New Roman"/>
          <w:sz w:val="28"/>
          <w:szCs w:val="28"/>
        </w:rPr>
        <w:t xml:space="preserve"> </w:t>
      </w:r>
      <w:r>
        <w:rPr>
          <w:rFonts w:ascii="Times New Roman" w:hAnsi="Times New Roman"/>
          <w:sz w:val="28"/>
          <w:szCs w:val="28"/>
          <w:lang w:val="en-US"/>
        </w:rPr>
        <w:t>Association</w:t>
      </w:r>
      <w:r w:rsidRPr="00FC55DB">
        <w:rPr>
          <w:rFonts w:ascii="Times New Roman" w:hAnsi="Times New Roman"/>
          <w:sz w:val="28"/>
          <w:szCs w:val="28"/>
        </w:rPr>
        <w:t xml:space="preserve">, 2013) </w:t>
      </w:r>
      <w:r>
        <w:rPr>
          <w:rFonts w:ascii="Times New Roman" w:hAnsi="Times New Roman"/>
          <w:sz w:val="28"/>
          <w:szCs w:val="28"/>
        </w:rPr>
        <w:t xml:space="preserve">щодо етичних принципів медичних досліджень за участю людини, а також згідно з положеннями Національної комісії з біоетики при </w:t>
      </w:r>
      <w:r>
        <w:rPr>
          <w:rFonts w:ascii="Times New Roman" w:hAnsi="Times New Roman"/>
          <w:sz w:val="28"/>
          <w:szCs w:val="28"/>
        </w:rPr>
        <w:lastRenderedPageBreak/>
        <w:t>МОЗ України щодо наукових досліджень із використанням біологічних зразків і персональних даних.</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Отже, методологія дослідження поєднує клінічні лабораторні тести з сучасним генетичним аналізом для комплексного вивчення взаємозв’язку між генетичними варіаціями та ефективністю зниження маси тіла під час фізичної активності.</w:t>
      </w:r>
    </w:p>
    <w:p w:rsidR="003C0557" w:rsidRDefault="003C0557">
      <w:pPr>
        <w:pStyle w:val="Default"/>
        <w:spacing w:before="0" w:line="360" w:lineRule="auto"/>
        <w:ind w:firstLine="720"/>
        <w:jc w:val="both"/>
        <w:rPr>
          <w:rStyle w:val="None"/>
          <w:rFonts w:ascii="Times New Roman" w:eastAsia="Times New Roman" w:hAnsi="Times New Roman" w:cs="Times New Roman"/>
          <w:sz w:val="28"/>
          <w:szCs w:val="28"/>
        </w:rPr>
      </w:pPr>
    </w:p>
    <w:p w:rsidR="003C0557" w:rsidRPr="00FC55DB" w:rsidRDefault="00030A4E">
      <w:pPr>
        <w:pStyle w:val="2"/>
        <w:rPr>
          <w:rStyle w:val="None"/>
          <w:sz w:val="30"/>
          <w:szCs w:val="30"/>
          <w:lang w:val="uk-UA"/>
        </w:rPr>
      </w:pPr>
      <w:bookmarkStart w:id="10" w:name="_Toc9"/>
      <w:r w:rsidRPr="00FC55DB">
        <w:rPr>
          <w:rStyle w:val="None"/>
          <w:rFonts w:eastAsia="Arial Unicode MS" w:cs="Arial Unicode MS"/>
          <w:sz w:val="30"/>
          <w:szCs w:val="30"/>
          <w:lang w:val="uk-UA"/>
        </w:rPr>
        <w:t>2.2. Організація досліджень</w:t>
      </w:r>
      <w:bookmarkEnd w:id="10"/>
    </w:p>
    <w:p w:rsidR="003C0557" w:rsidRDefault="003C0557">
      <w:pPr>
        <w:pStyle w:val="Default"/>
        <w:spacing w:before="0" w:line="360" w:lineRule="auto"/>
        <w:ind w:firstLine="720"/>
        <w:jc w:val="both"/>
        <w:rPr>
          <w:rStyle w:val="None"/>
          <w:rFonts w:ascii="Times New Roman" w:eastAsia="Times New Roman" w:hAnsi="Times New Roman" w:cs="Times New Roman"/>
          <w:sz w:val="28"/>
          <w:szCs w:val="28"/>
        </w:rPr>
      </w:pP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Учасники дослідження. Дослідження включає осіб, для яких зібрані детальні дані про стан здоров’я протягом кількох дат. Дані отримані з результатів лабораторії </w:t>
      </w:r>
      <w:r w:rsidRPr="00652D9C">
        <w:rPr>
          <w:rStyle w:val="None"/>
          <w:rFonts w:ascii="Times New Roman" w:hAnsi="Times New Roman"/>
          <w:color w:val="auto"/>
          <w:sz w:val="28"/>
          <w:szCs w:val="28"/>
          <w:u w:color="FF0000"/>
        </w:rPr>
        <w:t xml:space="preserve">Synevo (від </w:t>
      </w:r>
      <w:r w:rsidRPr="00652D9C">
        <w:rPr>
          <w:rStyle w:val="None"/>
          <w:rFonts w:ascii="Times New Roman" w:hAnsi="Times New Roman"/>
          <w:color w:val="auto"/>
          <w:sz w:val="28"/>
          <w:szCs w:val="28"/>
          <w:u w:color="FF0000"/>
          <w:lang w:val="ru-RU"/>
        </w:rPr>
        <w:t xml:space="preserve">26.12.2024, </w:t>
      </w:r>
      <w:r w:rsidRPr="00652D9C">
        <w:rPr>
          <w:rStyle w:val="None"/>
          <w:rFonts w:ascii="Times New Roman" w:hAnsi="Times New Roman"/>
          <w:color w:val="auto"/>
          <w:sz w:val="28"/>
          <w:szCs w:val="28"/>
          <w:u w:color="FF0000"/>
        </w:rPr>
        <w:t xml:space="preserve">надруковані </w:t>
      </w:r>
      <w:r w:rsidRPr="00652D9C">
        <w:rPr>
          <w:rStyle w:val="None"/>
          <w:rFonts w:ascii="Times New Roman" w:hAnsi="Times New Roman"/>
          <w:color w:val="auto"/>
          <w:sz w:val="28"/>
          <w:szCs w:val="28"/>
          <w:u w:color="FF0000"/>
          <w:lang w:val="ru-RU"/>
        </w:rPr>
        <w:t xml:space="preserve">27.12.2024, </w:t>
      </w:r>
      <w:r w:rsidRPr="00652D9C">
        <w:rPr>
          <w:rStyle w:val="None"/>
          <w:rFonts w:ascii="Times New Roman" w:hAnsi="Times New Roman"/>
          <w:color w:val="auto"/>
          <w:sz w:val="28"/>
          <w:szCs w:val="28"/>
          <w:u w:color="FF0000"/>
        </w:rPr>
        <w:t xml:space="preserve">номер замовлення 360582546) та з анкети на ведення здоров’я (Анкета на Ведення, від </w:t>
      </w:r>
      <w:r w:rsidRPr="00652D9C">
        <w:rPr>
          <w:rStyle w:val="None"/>
          <w:rFonts w:ascii="Times New Roman" w:hAnsi="Times New Roman"/>
          <w:color w:val="auto"/>
          <w:sz w:val="28"/>
          <w:szCs w:val="28"/>
          <w:u w:color="FF0000"/>
          <w:lang w:val="ru-RU"/>
        </w:rPr>
        <w:t xml:space="preserve">27.12.2024, 13:14). </w:t>
      </w:r>
      <w:r>
        <w:rPr>
          <w:rStyle w:val="Hyperlink0"/>
          <w:rFonts w:eastAsia="Arial Unicode MS"/>
        </w:rPr>
        <w:t>Генетичний аналіз стану здоров’я проводився за допомогою тесту Humess Complex DNA, який охоплює 102 показники здоров’я.</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Обробка даних проводилася за допомогою інформаційної системи лабораторії Synevo та біоінформатичних інструментів </w:t>
      </w:r>
      <w:r>
        <w:rPr>
          <w:rStyle w:val="Hyperlink0"/>
          <w:rFonts w:eastAsia="Arial Unicode MS"/>
          <w:lang w:val="en-US"/>
        </w:rPr>
        <w:t>Humess</w:t>
      </w:r>
      <w:r w:rsidRPr="00FC55DB">
        <w:rPr>
          <w:rStyle w:val="Hyperlink0"/>
          <w:rFonts w:eastAsia="Arial Unicode MS"/>
        </w:rPr>
        <w:t xml:space="preserve"> </w:t>
      </w:r>
      <w:r>
        <w:rPr>
          <w:rStyle w:val="Hyperlink0"/>
          <w:rFonts w:eastAsia="Arial Unicode MS"/>
        </w:rPr>
        <w:t xml:space="preserve">для отримання персоналізованих висновків щодо стану здоров’я та генетичних схильностей. Було розраховано індекс HOMA (2,39) для оцінки чутливості до інсуліну на основі рівнів глюкози та інсуліну. У дослідженні інтегрували дані самооцінки учасників щодо ваги (81 кг), </w:t>
      </w:r>
      <w:r>
        <w:rPr>
          <w:rStyle w:val="Hyperlink0"/>
          <w:rFonts w:eastAsia="Arial Unicode MS"/>
          <w:lang w:val="ru-RU"/>
        </w:rPr>
        <w:t xml:space="preserve">зросту </w:t>
      </w:r>
      <w:r>
        <w:rPr>
          <w:rStyle w:val="Hyperlink0"/>
          <w:rFonts w:eastAsia="Arial Unicode MS"/>
        </w:rPr>
        <w:t xml:space="preserve">(173 </w:t>
      </w:r>
      <w:r>
        <w:rPr>
          <w:rStyle w:val="Hyperlink0"/>
          <w:rFonts w:eastAsia="Arial Unicode MS"/>
          <w:lang w:val="ru-RU"/>
        </w:rPr>
        <w:t>см</w:t>
      </w:r>
      <w:r>
        <w:rPr>
          <w:rStyle w:val="Hyperlink0"/>
          <w:rFonts w:eastAsia="Arial Unicode MS"/>
        </w:rPr>
        <w:t xml:space="preserve">) та частоти занять фізичними вправами (1–2 </w:t>
      </w:r>
      <w:r>
        <w:rPr>
          <w:rStyle w:val="Hyperlink0"/>
          <w:rFonts w:eastAsia="Arial Unicode MS"/>
          <w:lang w:val="ru-RU"/>
        </w:rPr>
        <w:t>рази на тиждень</w:t>
      </w:r>
      <w:r>
        <w:rPr>
          <w:rStyle w:val="Hyperlink0"/>
          <w:rFonts w:eastAsia="Arial Unicode MS"/>
        </w:rPr>
        <w:t>) для кореляції з генетичними та біохімічними показниками.</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Фокус дослідження. Дослідження спрямоване на оцінку ефективності зниження маси тіла в умовах м’язової роботи з урахуванням генетичних варіацій метаболізму жиру, що оцінюються за ліпідними профілями, реакцією на харчування та толерантністю до фізичних навантажень. Самооцінка рівня фізичної активності, харчові вподобання (толерантність до голоду, реакція на білкові страви) та генетичні схильності (наприклад, реакція на кетогенну дієту, сторінка 124 звіту) були інтегровані в загальний аналіз. Звіт </w:t>
      </w:r>
      <w:r>
        <w:rPr>
          <w:rStyle w:val="Hyperlink0"/>
          <w:rFonts w:eastAsia="Arial Unicode MS"/>
          <w:lang w:val="en-US"/>
        </w:rPr>
        <w:t>Humess</w:t>
      </w:r>
      <w:r w:rsidRPr="00FC55DB">
        <w:rPr>
          <w:rStyle w:val="Hyperlink0"/>
          <w:rFonts w:eastAsia="Arial Unicode MS"/>
        </w:rPr>
        <w:t xml:space="preserve"> </w:t>
      </w:r>
      <w:r>
        <w:rPr>
          <w:rStyle w:val="Hyperlink0"/>
          <w:rFonts w:eastAsia="Arial Unicode MS"/>
        </w:rPr>
        <w:t xml:space="preserve">містить детальні розділи щодо метаболізму (функція мітохондрій, сторінка 150), реакції на фізичне навантаження </w:t>
      </w:r>
      <w:r>
        <w:rPr>
          <w:rStyle w:val="Hyperlink0"/>
          <w:rFonts w:eastAsia="Arial Unicode MS"/>
        </w:rPr>
        <w:lastRenderedPageBreak/>
        <w:t>(аеробний потенціал, сторінка 114) та харчової придатності (середземноморська дієта, сторінка 129).</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Етичні аспекти. Учасники були поінформовані про цілі дослідження, методи, можливі ризики та гарантії конфіденційності, і надали письмову або усну згоду на участь. Робота проводилася відповідно до положень Декларації Гельсінкі </w:t>
      </w:r>
      <w:r w:rsidRPr="00FC55DB">
        <w:rPr>
          <w:rFonts w:ascii="Times New Roman" w:hAnsi="Times New Roman"/>
          <w:sz w:val="28"/>
          <w:szCs w:val="28"/>
        </w:rPr>
        <w:t>(</w:t>
      </w:r>
      <w:r>
        <w:rPr>
          <w:rFonts w:ascii="Times New Roman" w:hAnsi="Times New Roman"/>
          <w:sz w:val="28"/>
          <w:szCs w:val="28"/>
          <w:lang w:val="en-US"/>
        </w:rPr>
        <w:t>World</w:t>
      </w:r>
      <w:r w:rsidRPr="00FC55DB">
        <w:rPr>
          <w:rFonts w:ascii="Times New Roman" w:hAnsi="Times New Roman"/>
          <w:sz w:val="28"/>
          <w:szCs w:val="28"/>
        </w:rPr>
        <w:t xml:space="preserve"> </w:t>
      </w:r>
      <w:r>
        <w:rPr>
          <w:rFonts w:ascii="Times New Roman" w:hAnsi="Times New Roman"/>
          <w:sz w:val="28"/>
          <w:szCs w:val="28"/>
          <w:lang w:val="en-US"/>
        </w:rPr>
        <w:t>Medical</w:t>
      </w:r>
      <w:r w:rsidRPr="00FC55DB">
        <w:rPr>
          <w:rFonts w:ascii="Times New Roman" w:hAnsi="Times New Roman"/>
          <w:sz w:val="28"/>
          <w:szCs w:val="28"/>
        </w:rPr>
        <w:t xml:space="preserve"> </w:t>
      </w:r>
      <w:r>
        <w:rPr>
          <w:rFonts w:ascii="Times New Roman" w:hAnsi="Times New Roman"/>
          <w:sz w:val="28"/>
          <w:szCs w:val="28"/>
          <w:lang w:val="en-US"/>
        </w:rPr>
        <w:t>Association</w:t>
      </w:r>
      <w:r w:rsidRPr="00FC55DB">
        <w:rPr>
          <w:rFonts w:ascii="Times New Roman" w:hAnsi="Times New Roman"/>
          <w:sz w:val="28"/>
          <w:szCs w:val="28"/>
        </w:rPr>
        <w:t xml:space="preserve">, 2013) </w:t>
      </w:r>
      <w:r>
        <w:rPr>
          <w:rFonts w:ascii="Times New Roman" w:hAnsi="Times New Roman"/>
          <w:sz w:val="28"/>
          <w:szCs w:val="28"/>
        </w:rPr>
        <w:t>та настанов Національної комісії з біоетики при МОЗ України щодо проведення наукових досліджень з використанням біологічних зразків і персональних даних.</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Отримано позитивний висновок комісії з біоетики клініки, що забезпечує правомірність збору, обробки та зберігання біологічних матеріалів і гарантує використання даних виключно для наукових цілей. Такий підхід дозволяє інтегрувати клінічні, біохімічні та генетичні показники для комплексного вивчення взаємодії генетичних схильностей, метаболізму жиру та ефективності зниження маси тіла під час фізичної активності.</w:t>
      </w:r>
    </w:p>
    <w:p w:rsidR="00FC55DB" w:rsidRDefault="00FC55DB">
      <w:pPr>
        <w:rPr>
          <w:sz w:val="28"/>
          <w:szCs w:val="28"/>
          <w:lang w:val="uk-UA"/>
        </w:rPr>
      </w:pPr>
      <w:bookmarkStart w:id="11" w:name="_Toc10"/>
      <w:r w:rsidRPr="00E16F9F">
        <w:rPr>
          <w:b/>
          <w:bCs/>
          <w:caps/>
          <w:sz w:val="28"/>
          <w:szCs w:val="28"/>
          <w:lang w:val="uk-UA"/>
        </w:rPr>
        <w:br w:type="page"/>
      </w:r>
    </w:p>
    <w:p w:rsidR="003C0557" w:rsidRDefault="00030A4E">
      <w:pPr>
        <w:pStyle w:val="1"/>
        <w:rPr>
          <w:rStyle w:val="None"/>
        </w:rPr>
      </w:pPr>
      <w:r>
        <w:rPr>
          <w:rStyle w:val="None"/>
          <w:rFonts w:eastAsia="Arial Unicode MS" w:cs="Arial Unicode MS"/>
        </w:rPr>
        <w:lastRenderedPageBreak/>
        <w:t xml:space="preserve">РОЗДІЛ 3. РЕЗУЛЬТАТИ ВЛАСНИХ ДОСЛІДЖЕНЬ ТА ЇХ ОБГОВОРЕННЯ </w:t>
      </w:r>
      <w:bookmarkEnd w:id="11"/>
    </w:p>
    <w:p w:rsidR="003C0557" w:rsidRDefault="003C0557">
      <w:pPr>
        <w:pStyle w:val="Default"/>
        <w:spacing w:before="0" w:line="360" w:lineRule="auto"/>
        <w:ind w:firstLine="720"/>
        <w:jc w:val="both"/>
        <w:rPr>
          <w:rStyle w:val="None"/>
          <w:rFonts w:ascii="Times New Roman" w:eastAsia="Times New Roman" w:hAnsi="Times New Roman" w:cs="Times New Roman"/>
          <w:b/>
          <w:bCs/>
          <w:sz w:val="28"/>
          <w:szCs w:val="28"/>
        </w:rPr>
      </w:pPr>
    </w:p>
    <w:p w:rsidR="003C0557" w:rsidRPr="00FC55DB" w:rsidRDefault="00030A4E">
      <w:pPr>
        <w:pStyle w:val="2"/>
        <w:rPr>
          <w:rStyle w:val="None"/>
          <w:sz w:val="30"/>
          <w:szCs w:val="30"/>
          <w:lang w:val="uk-UA"/>
        </w:rPr>
      </w:pPr>
      <w:bookmarkStart w:id="12" w:name="_Toc11"/>
      <w:r w:rsidRPr="00FC55DB">
        <w:rPr>
          <w:rStyle w:val="None"/>
          <w:rFonts w:eastAsia="Arial Unicode MS" w:cs="Arial Unicode MS"/>
          <w:sz w:val="30"/>
          <w:szCs w:val="30"/>
          <w:lang w:val="uk-UA"/>
        </w:rPr>
        <w:t xml:space="preserve">3.1. Особливсті впливу поліморфізмів </w:t>
      </w:r>
      <w:bookmarkEnd w:id="12"/>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Аналіз результатів ДНК-тесту першого досліджуваного, віком 51 рік, показав комплексний вплив генетичних варіантів на харчові уподобання, фізичну активність, метаболізм та гормональний профіль. Для більш детальної оцінки ефекту поліморфізмів співставлені основні гени, що відіграють критичну роль у жировому обміні, енергетичному балансі та регуляції апетиту.</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У сфері харчування середню схильність до споживання жирної їжі обумовлюють поліморфізми </w:t>
      </w:r>
      <w:r>
        <w:rPr>
          <w:rFonts w:ascii="Times New Roman" w:hAnsi="Times New Roman"/>
          <w:sz w:val="28"/>
          <w:szCs w:val="28"/>
          <w:lang w:val="de-DE"/>
        </w:rPr>
        <w:t xml:space="preserve">FTO, MC4R </w:t>
      </w:r>
      <w:r>
        <w:rPr>
          <w:rFonts w:ascii="Times New Roman" w:hAnsi="Times New Roman"/>
          <w:sz w:val="28"/>
          <w:szCs w:val="28"/>
        </w:rPr>
        <w:t xml:space="preserve">та LEP, що підвищують апетит та схильність до накопичення жирової тканини. Варіанти FABP2 та </w:t>
      </w:r>
      <w:r>
        <w:rPr>
          <w:rFonts w:ascii="Times New Roman" w:hAnsi="Times New Roman"/>
          <w:sz w:val="28"/>
          <w:szCs w:val="28"/>
          <w:lang w:val="es-ES_tradnl"/>
        </w:rPr>
        <w:t>PPAR</w:t>
      </w:r>
      <w:r>
        <w:rPr>
          <w:rFonts w:ascii="Times New Roman" w:hAnsi="Times New Roman"/>
          <w:sz w:val="28"/>
          <w:szCs w:val="28"/>
        </w:rPr>
        <w:t xml:space="preserve">γвпливають на всмоктування жирів і диференціацію адипоцитів, тоді як поліморфізми </w:t>
      </w:r>
      <w:r>
        <w:rPr>
          <w:rFonts w:ascii="Times New Roman" w:hAnsi="Times New Roman"/>
          <w:sz w:val="28"/>
          <w:szCs w:val="28"/>
          <w:lang w:val="it-IT"/>
        </w:rPr>
        <w:t>CNR1 (</w:t>
      </w:r>
      <w:r>
        <w:rPr>
          <w:rFonts w:ascii="Times New Roman" w:hAnsi="Times New Roman"/>
          <w:sz w:val="28"/>
          <w:szCs w:val="28"/>
        </w:rPr>
        <w:t xml:space="preserve">канабіноїдний рецептор 1) можуть підвищувати перевагу до висококалорійної їжі. Середня схильність до вуглеводів відображає вплив </w:t>
      </w:r>
      <w:r>
        <w:rPr>
          <w:rFonts w:ascii="Times New Roman" w:hAnsi="Times New Roman"/>
          <w:sz w:val="28"/>
          <w:szCs w:val="28"/>
          <w:lang w:val="fr-FR"/>
        </w:rPr>
        <w:t xml:space="preserve">TCF7L2, GIPR </w:t>
      </w:r>
      <w:r>
        <w:rPr>
          <w:rFonts w:ascii="Times New Roman" w:hAnsi="Times New Roman"/>
          <w:sz w:val="28"/>
          <w:szCs w:val="28"/>
        </w:rPr>
        <w:t xml:space="preserve">та </w:t>
      </w:r>
      <w:r>
        <w:rPr>
          <w:rFonts w:ascii="Times New Roman" w:hAnsi="Times New Roman"/>
          <w:sz w:val="28"/>
          <w:szCs w:val="28"/>
          <w:lang w:val="de-DE"/>
        </w:rPr>
        <w:t xml:space="preserve">GLP1R, </w:t>
      </w:r>
      <w:r>
        <w:rPr>
          <w:rFonts w:ascii="Times New Roman" w:hAnsi="Times New Roman"/>
          <w:sz w:val="28"/>
          <w:szCs w:val="28"/>
        </w:rPr>
        <w:t>які модулюють інсулінову чутливість та глюкозний обмін.</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У сфері фізичної активності та енергетичних витрат варіанти </w:t>
      </w:r>
      <w:r>
        <w:rPr>
          <w:rFonts w:ascii="Times New Roman" w:hAnsi="Times New Roman"/>
          <w:sz w:val="28"/>
          <w:szCs w:val="28"/>
          <w:lang w:val="pt-PT"/>
        </w:rPr>
        <w:t xml:space="preserve">ADRB2, ADRB3, UCP1, UCP2 </w:t>
      </w:r>
      <w:r>
        <w:rPr>
          <w:rFonts w:ascii="Times New Roman" w:hAnsi="Times New Roman"/>
          <w:sz w:val="28"/>
          <w:szCs w:val="28"/>
        </w:rPr>
        <w:t xml:space="preserve">та </w:t>
      </w:r>
      <w:r>
        <w:rPr>
          <w:rFonts w:ascii="Times New Roman" w:hAnsi="Times New Roman"/>
          <w:sz w:val="28"/>
          <w:szCs w:val="28"/>
          <w:lang w:val="pt-PT"/>
        </w:rPr>
        <w:t>CPT1A</w:t>
      </w:r>
      <w:r>
        <w:rPr>
          <w:rFonts w:ascii="Times New Roman" w:hAnsi="Times New Roman"/>
          <w:sz w:val="28"/>
          <w:szCs w:val="28"/>
        </w:rPr>
        <w:t>визначають швидкість ліполізу, термогенез та витрати енергії під час аеробних та анаеробних навантажень. Так</w:t>
      </w:r>
      <w:r>
        <w:rPr>
          <w:rFonts w:ascii="Times New Roman" w:hAnsi="Times New Roman"/>
          <w:sz w:val="28"/>
          <w:szCs w:val="28"/>
          <w:lang w:val="nl-NL"/>
        </w:rPr>
        <w:t xml:space="preserve">, Trp64Arg </w:t>
      </w:r>
      <w:r w:rsidRPr="00FC55DB">
        <w:rPr>
          <w:rFonts w:ascii="Times New Roman" w:hAnsi="Times New Roman"/>
          <w:sz w:val="28"/>
          <w:szCs w:val="28"/>
        </w:rPr>
        <w:t xml:space="preserve">у </w:t>
      </w:r>
      <w:r>
        <w:rPr>
          <w:rFonts w:ascii="Times New Roman" w:hAnsi="Times New Roman"/>
          <w:sz w:val="28"/>
          <w:szCs w:val="28"/>
          <w:lang w:val="da-DK"/>
        </w:rPr>
        <w:t xml:space="preserve">ADRB3 </w:t>
      </w:r>
      <w:r>
        <w:rPr>
          <w:rFonts w:ascii="Times New Roman" w:hAnsi="Times New Roman"/>
          <w:sz w:val="28"/>
          <w:szCs w:val="28"/>
        </w:rPr>
        <w:t xml:space="preserve">пов’язаний із зниженою активністю ліполізу, що підвищує ризик накопичення вісцерального жиру, тоді як поліморфізми </w:t>
      </w:r>
      <w:r>
        <w:rPr>
          <w:rFonts w:ascii="Times New Roman" w:hAnsi="Times New Roman"/>
          <w:sz w:val="28"/>
          <w:szCs w:val="28"/>
          <w:lang w:val="pt-PT"/>
        </w:rPr>
        <w:t xml:space="preserve">UCP1 </w:t>
      </w:r>
      <w:r>
        <w:rPr>
          <w:rFonts w:ascii="Times New Roman" w:hAnsi="Times New Roman"/>
          <w:sz w:val="28"/>
          <w:szCs w:val="28"/>
        </w:rPr>
        <w:t>збільшують термогенез і потенційно сприяють кращій витраті енергії при тренуваннях.</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 xml:space="preserve">Гормональний баланс та стресові реакції модулюються генами </w:t>
      </w:r>
      <w:r>
        <w:rPr>
          <w:rFonts w:ascii="Times New Roman" w:hAnsi="Times New Roman"/>
          <w:sz w:val="28"/>
          <w:szCs w:val="28"/>
          <w:lang w:val="fr-FR"/>
        </w:rPr>
        <w:t xml:space="preserve">LEPR, POMC, CNR1, BDNF </w:t>
      </w:r>
      <w:r>
        <w:rPr>
          <w:rFonts w:ascii="Times New Roman" w:hAnsi="Times New Roman"/>
          <w:sz w:val="28"/>
          <w:szCs w:val="28"/>
        </w:rPr>
        <w:t>та COMT. Поліморфізми цих генів впливають на апетит, мотивацію до фізичної активності, настрій і стресостійкість. Зокрема, BDNF асоційований із нейропластичністю та енергетичними витратами, а варіанти COMT можуть змінювати рівень дофаміну та серотоніну.</w:t>
      </w:r>
    </w:p>
    <w:p w:rsidR="003C0557" w:rsidRDefault="00030A4E">
      <w:pPr>
        <w:pStyle w:val="Default"/>
        <w:spacing w:before="0" w:line="360" w:lineRule="auto"/>
        <w:ind w:firstLine="720"/>
        <w:jc w:val="both"/>
        <w:rPr>
          <w:rFonts w:ascii="Times New Roman" w:eastAsia="Times New Roman" w:hAnsi="Times New Roman" w:cs="Times New Roman"/>
          <w:sz w:val="28"/>
          <w:szCs w:val="28"/>
        </w:rPr>
      </w:pPr>
      <w:r>
        <w:rPr>
          <w:rFonts w:ascii="Times New Roman" w:hAnsi="Times New Roman"/>
          <w:sz w:val="28"/>
          <w:szCs w:val="28"/>
        </w:rPr>
        <w:t>Щодо метаболізму мікро</w:t>
      </w:r>
      <w:r w:rsidRPr="00FC55DB">
        <w:rPr>
          <w:rFonts w:ascii="Times New Roman" w:hAnsi="Times New Roman"/>
          <w:sz w:val="28"/>
          <w:szCs w:val="28"/>
        </w:rPr>
        <w:t xml:space="preserve">- </w:t>
      </w:r>
      <w:r>
        <w:rPr>
          <w:rFonts w:ascii="Times New Roman" w:hAnsi="Times New Roman"/>
          <w:sz w:val="28"/>
          <w:szCs w:val="28"/>
        </w:rPr>
        <w:t xml:space="preserve">та макронутрієнтів, поліморфізми </w:t>
      </w:r>
      <w:r>
        <w:rPr>
          <w:rFonts w:ascii="Times New Roman" w:hAnsi="Times New Roman"/>
          <w:sz w:val="28"/>
          <w:szCs w:val="28"/>
          <w:lang w:val="en-US"/>
        </w:rPr>
        <w:t>FADS</w:t>
      </w:r>
      <w:r w:rsidRPr="00FC55DB">
        <w:rPr>
          <w:rFonts w:ascii="Times New Roman" w:hAnsi="Times New Roman"/>
          <w:sz w:val="28"/>
          <w:szCs w:val="28"/>
        </w:rPr>
        <w:t xml:space="preserve">1, </w:t>
      </w:r>
      <w:r>
        <w:rPr>
          <w:rFonts w:ascii="Times New Roman" w:hAnsi="Times New Roman"/>
          <w:sz w:val="28"/>
          <w:szCs w:val="28"/>
          <w:lang w:val="en-US"/>
        </w:rPr>
        <w:t>FADS</w:t>
      </w:r>
      <w:r w:rsidRPr="00FC55DB">
        <w:rPr>
          <w:rFonts w:ascii="Times New Roman" w:hAnsi="Times New Roman"/>
          <w:sz w:val="28"/>
          <w:szCs w:val="28"/>
        </w:rPr>
        <w:t xml:space="preserve">2, </w:t>
      </w:r>
      <w:r>
        <w:rPr>
          <w:rFonts w:ascii="Times New Roman" w:hAnsi="Times New Roman"/>
          <w:sz w:val="28"/>
          <w:szCs w:val="28"/>
          <w:lang w:val="en-US"/>
        </w:rPr>
        <w:t>CYP</w:t>
      </w:r>
      <w:r w:rsidRPr="00FC55DB">
        <w:rPr>
          <w:rFonts w:ascii="Times New Roman" w:hAnsi="Times New Roman"/>
          <w:sz w:val="28"/>
          <w:szCs w:val="28"/>
        </w:rPr>
        <w:t>1</w:t>
      </w:r>
      <w:r>
        <w:rPr>
          <w:rFonts w:ascii="Times New Roman" w:hAnsi="Times New Roman"/>
          <w:sz w:val="28"/>
          <w:szCs w:val="28"/>
          <w:lang w:val="en-US"/>
        </w:rPr>
        <w:t>A</w:t>
      </w:r>
      <w:r w:rsidRPr="00FC55DB">
        <w:rPr>
          <w:rFonts w:ascii="Times New Roman" w:hAnsi="Times New Roman"/>
          <w:sz w:val="28"/>
          <w:szCs w:val="28"/>
        </w:rPr>
        <w:t xml:space="preserve">2 </w:t>
      </w:r>
      <w:r>
        <w:rPr>
          <w:rFonts w:ascii="Times New Roman" w:hAnsi="Times New Roman"/>
          <w:sz w:val="28"/>
          <w:szCs w:val="28"/>
        </w:rPr>
        <w:t xml:space="preserve">та </w:t>
      </w:r>
      <w:r>
        <w:rPr>
          <w:rFonts w:ascii="Times New Roman" w:hAnsi="Times New Roman"/>
          <w:sz w:val="28"/>
          <w:szCs w:val="28"/>
          <w:lang w:val="de-DE"/>
        </w:rPr>
        <w:t xml:space="preserve">GSTP1 </w:t>
      </w:r>
      <w:r w:rsidRPr="00FC55DB">
        <w:rPr>
          <w:rFonts w:ascii="Times New Roman" w:hAnsi="Times New Roman"/>
          <w:sz w:val="28"/>
          <w:szCs w:val="28"/>
        </w:rPr>
        <w:t>впливають на обробку жирних кислот</w:t>
      </w:r>
      <w:r>
        <w:rPr>
          <w:rFonts w:ascii="Times New Roman" w:hAnsi="Times New Roman"/>
          <w:sz w:val="28"/>
          <w:szCs w:val="28"/>
        </w:rPr>
        <w:t xml:space="preserve">, антиоксидантну активність та детоксикацію, що має значення для рекомендацій щодо раціону та </w:t>
      </w:r>
      <w:r>
        <w:rPr>
          <w:rFonts w:ascii="Times New Roman" w:hAnsi="Times New Roman"/>
          <w:sz w:val="28"/>
          <w:szCs w:val="28"/>
        </w:rPr>
        <w:lastRenderedPageBreak/>
        <w:t xml:space="preserve">харчових добавок. Варіанти </w:t>
      </w:r>
      <w:r>
        <w:rPr>
          <w:rFonts w:ascii="Times New Roman" w:hAnsi="Times New Roman"/>
          <w:sz w:val="28"/>
          <w:szCs w:val="28"/>
          <w:lang w:val="da-DK"/>
        </w:rPr>
        <w:t xml:space="preserve">VDR </w:t>
      </w:r>
      <w:r>
        <w:rPr>
          <w:rFonts w:ascii="Times New Roman" w:hAnsi="Times New Roman"/>
          <w:sz w:val="28"/>
          <w:szCs w:val="28"/>
        </w:rPr>
        <w:t xml:space="preserve">та GC модулюють рівень вітаміну D, а SLC23A1, SLC23A2 — вітаміну </w:t>
      </w:r>
      <w:r>
        <w:rPr>
          <w:rFonts w:ascii="Times New Roman" w:hAnsi="Times New Roman"/>
          <w:sz w:val="28"/>
          <w:szCs w:val="28"/>
          <w:lang w:val="es-ES_tradnl"/>
        </w:rPr>
        <w:t xml:space="preserve">C, </w:t>
      </w:r>
      <w:r>
        <w:rPr>
          <w:rFonts w:ascii="Times New Roman" w:hAnsi="Times New Roman"/>
          <w:sz w:val="28"/>
          <w:szCs w:val="28"/>
        </w:rPr>
        <w:t>що корелює з ризиком дефіцитів, виявлених у тесті.</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Аналіз результатів ДНК-тесту від </w:t>
      </w:r>
      <w:r>
        <w:rPr>
          <w:rStyle w:val="Hyperlink0"/>
          <w:rFonts w:eastAsia="Arial Unicode MS"/>
          <w:lang w:val="en-US"/>
        </w:rPr>
        <w:t>Humess</w:t>
      </w:r>
      <w:r w:rsidRPr="00FC55DB">
        <w:rPr>
          <w:rStyle w:val="Hyperlink0"/>
          <w:rFonts w:eastAsia="Arial Unicode MS"/>
        </w:rPr>
        <w:t xml:space="preserve"> </w:t>
      </w:r>
      <w:r>
        <w:rPr>
          <w:rStyle w:val="Hyperlink0"/>
          <w:rFonts w:eastAsia="Arial Unicode MS"/>
        </w:rPr>
        <w:t>першого досліджуваного, віком 51 рік, на основі 102 показників розкриває низку ключових аспектів. По-перше, у сфері харчування спостерігається середня схильність до споживання жирної їжі, що вимагає зменшення насичених та трансжирів, таких як червоне м'ясо та жирні молочні продукти, і одночасно акценту на ненасичених жирах, зокрема оливковій олії, рибі та горіхах. Середня схильність до вуглеводів передбачає обмеження простих вуглеводів, таких як цукор і випічка, з перевагою складних, наприклад, цільнозернових продуктів та овочів, тоді як висока схильність до риби є позитивним фактором для здоров’я серця завдяки омега-3. Середня схильність до цитрусових і чаю, помірно висока до кави та висока до солі, а також середня до цукру, вказують на необхідність контролю солі, щоб уникнути гіпертензії.</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Щодо вітамінів та мікроелементів, високий ризик дефіциту вітаміну </w:t>
      </w:r>
      <w:r>
        <w:rPr>
          <w:rStyle w:val="Hyperlink0"/>
          <w:rFonts w:eastAsia="Arial Unicode MS"/>
          <w:lang w:val="pt-PT"/>
        </w:rPr>
        <w:t xml:space="preserve">A </w:t>
      </w:r>
      <w:r>
        <w:rPr>
          <w:rStyle w:val="Hyperlink0"/>
          <w:rFonts w:eastAsia="Arial Unicode MS"/>
        </w:rPr>
        <w:t xml:space="preserve">та фосфору, помірно високий ризик вітамінів </w:t>
      </w:r>
      <w:r>
        <w:rPr>
          <w:rStyle w:val="Hyperlink0"/>
          <w:rFonts w:eastAsia="Arial Unicode MS"/>
          <w:lang w:val="es-ES_tradnl"/>
        </w:rPr>
        <w:t xml:space="preserve">C, D, E, K, </w:t>
      </w:r>
      <w:r>
        <w:rPr>
          <w:rStyle w:val="Hyperlink0"/>
          <w:rFonts w:eastAsia="Arial Unicode MS"/>
        </w:rPr>
        <w:t>кальцію, селену, цинку, йоду та мангану, а також середній ризик вітамінів B1, B2, B3, B5, B6, B7, B9, B12, калію, магнію, міді та молібдену, разом із низьким ризиком дефіциту заліза та феритину, підкреслюють потребу в консультації з дієтологом для корекції раціону. У спорті висока схильність до фізичної активності є сприятливою для тренувань, хоча високий рівень виснажливості вимагає поступового навантаження, а помірно високий аеробний потенціал обіцяє хороші результати у витривалості, тоді як помірно низька схильність до травм і середня щільність кісток закликають до підтримки кісткової тканини.</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У сфері дієт середня реакція на кетогенну, низькожирову та середземноморську дієти, помірно гарна на вегетаріанство та високопротеїнову, а також помірно погана на низькокалорійну й погана на низькосольову вказують на оптимальність середземноморської дієти з помірним вмістом білка. Смакові відчуття гіркого та солодкого смаку є середньої чутливості, що відповідає стандартному сприйняттю. У метаболізмі помірно низька мітохондріальна функція може знижувати енергію, помірно висока схильність до оксидативного стресу </w:t>
      </w:r>
      <w:r>
        <w:rPr>
          <w:rStyle w:val="Hyperlink0"/>
          <w:rFonts w:eastAsia="Arial Unicode MS"/>
        </w:rPr>
        <w:lastRenderedPageBreak/>
        <w:t>потребує антиоксидантів, а помірно низька швидкість метаболізму підвищує ризик набору ваги. Помірно високий рівень глюкози та помірно високий ризик діабету 2 типу наголошують на контролі вуглеводів, тоді як помірно погана відповідь на метаболізм омега-3 та карнітину вимагає додаткових джерел цих речовин.</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Гормональний профіль демонструє середній рівень адреналіну та окситоцину, помірно високі дофамін та серотонін, що сприяють позитивному настрою, і помірно низькі кортизол, тестостерон, андрогени та естроген, що можуть вказувати на стресові реакції чи гормональний дисбаланс. </w:t>
      </w:r>
      <w:r>
        <w:rPr>
          <w:rStyle w:val="None"/>
          <w:rFonts w:ascii="Times New Roman" w:hAnsi="Times New Roman"/>
          <w:sz w:val="28"/>
          <w:szCs w:val="28"/>
        </w:rPr>
        <w:t xml:space="preserve">Соновий профіль </w:t>
      </w:r>
      <w:r>
        <w:rPr>
          <w:rStyle w:val="Hyperlink0"/>
          <w:rFonts w:eastAsia="Arial Unicode MS"/>
        </w:rPr>
        <w:t xml:space="preserve">із помірно низьким ризиком безсоння, глибини та порушень сну, помірно низькою схильністю до рухів уві сні, помірно високою тривалістю сну, хронотипом </w:t>
      </w:r>
      <w:r w:rsidRPr="00FC55DB">
        <w:rPr>
          <w:rStyle w:val="Hyperlink0"/>
          <w:rFonts w:eastAsia="Arial Unicode MS"/>
        </w:rPr>
        <w:t>"</w:t>
      </w:r>
      <w:r>
        <w:rPr>
          <w:rStyle w:val="Hyperlink0"/>
          <w:rFonts w:eastAsia="Arial Unicode MS"/>
        </w:rPr>
        <w:t>голуб" (ранній) та високою якістю сну є загалом позитивним. Схильність до алергій виявляє помірно низький ризик загальних харчових алергій, пшениці, молока, яєць та арахісу, середню до лактози та целіакії, а також помірно високу до алергічного нежитю та середню до алергії на котів.</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Звички включають середній рівень споживання алкоголю та помірно високий кофеїну, що потребує контролю, а також середній ризик залежності від алкоголю та помірно високий від нікотину, що вимагає обережності. Поведінка характеризується помірно високим рівнем тривожності, агресії та ризикованою поведінкою, що підкреслює важливість стрес-менеджменту, а середня схильність до залежності та самопошкодження також заслуговує уваги. Серед інших факторів висока схильність до довголіття є позитивним прогнозом, тоді як помірно високий рівень задоволеності здоров’ям, низький інтелект, низький рівень пам’яті та помірно високий самопочуття вказують на можливу потребу в когнітивних вправах.</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Рекомендується збалансоване харчування з акцентом на середземноморську дієту, включенням риби, горіхів та овочів, уникнення надлишку солі та низькокалорійних режимів, а також додатковий прийом вітамінів </w:t>
      </w:r>
      <w:r>
        <w:rPr>
          <w:rStyle w:val="Hyperlink0"/>
          <w:rFonts w:eastAsia="Arial Unicode MS"/>
          <w:lang w:val="pt-PT"/>
        </w:rPr>
        <w:t xml:space="preserve">A, C, D, E </w:t>
      </w:r>
      <w:r>
        <w:rPr>
          <w:rStyle w:val="Hyperlink0"/>
          <w:rFonts w:eastAsia="Arial Unicode MS"/>
        </w:rPr>
        <w:t>та кальцію, селену. Регулярна фізична активність із акцентом на аеробні вправи та поступовим навантаженням, контроль глюкози, гормонів та стрес-менеджмент є важливими. Консультація з фахівцем необхідна для персоналізованого плану, оскільки цей аналіз базується на генетичних маркерах і не є діагнозом.</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lastRenderedPageBreak/>
        <w:t xml:space="preserve">Схильність до споживання риби є високою, що відображає позитивний генетичний маркер, пов’язаний із тягою до цього продукту, багатого білком, </w:t>
      </w:r>
      <w:r w:rsidRPr="00FC55DB">
        <w:rPr>
          <w:rStyle w:val="Hyperlink0"/>
          <w:rFonts w:eastAsia="Arial Unicode MS"/>
        </w:rPr>
        <w:t>омега</w:t>
      </w:r>
      <w:r>
        <w:rPr>
          <w:rStyle w:val="Hyperlink0"/>
          <w:rFonts w:eastAsia="Arial Unicode MS"/>
        </w:rPr>
        <w:t xml:space="preserve">-3, вітамінами </w:t>
      </w:r>
      <w:r>
        <w:rPr>
          <w:rStyle w:val="Hyperlink0"/>
          <w:rFonts w:eastAsia="Arial Unicode MS"/>
          <w:lang w:val="en-US"/>
        </w:rPr>
        <w:t>D</w:t>
      </w:r>
      <w:r w:rsidRPr="00FC55DB">
        <w:rPr>
          <w:rStyle w:val="Hyperlink0"/>
          <w:rFonts w:eastAsia="Arial Unicode MS"/>
        </w:rPr>
        <w:t xml:space="preserve"> </w:t>
      </w:r>
      <w:r>
        <w:rPr>
          <w:rStyle w:val="Hyperlink0"/>
          <w:rFonts w:eastAsia="Arial Unicode MS"/>
        </w:rPr>
        <w:t>і групи B, йодом та селеном, які підтримують здоров’я серця, мозку, зору та знижують запалення. Генетичні варіації, такі як rs12003047 (TC/CC), rs1201914 (GG/GG) та інші, впливають на сприйняття смаку риби, що може пояснювати цю схильність. Рекомендується балансувати раціон із іншими джерелами білка (м’ясо, бобові, горіхи), контролювати розмір порцій (близько долоні) і віддавати перевагу запіканню чи варінню, уникаючи смаження, а також консультуватися з лікарем щодо можливих обмежень, наприклад, при захворюваннях нирок.</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Схильність до цитрусових фруктів (</w:t>
      </w:r>
      <w:r w:rsidRPr="00FC55DB">
        <w:rPr>
          <w:rStyle w:val="Hyperlink0"/>
          <w:rFonts w:eastAsia="Arial Unicode MS"/>
        </w:rPr>
        <w:t>апельсини</w:t>
      </w:r>
      <w:r>
        <w:rPr>
          <w:rStyle w:val="Hyperlink0"/>
          <w:rFonts w:eastAsia="Arial Unicode MS"/>
        </w:rPr>
        <w:t>, лимони, грейпфрути) є середньою, що базується на генетичних маркерах, таких як rs13178866 (CT/TT) і rs149038956 (GG/AA), які впливають на сприйняття смаку та потребу в вітаміні С та антиоксидантах. Ці фрукти зміцнюють імунітет, покращують шкіру та серцево-судинну систему, але не виявлено критичної потреби в їхньому надмірному вживанні. Рекомендується включати їх кілька разів на тиждень, додавати сік чи цедру до страв, використовувати як перекус, особливо під час хвороб, і полоскати рот водою після вживання для захисту емалі зубів, а також урізноманітнювати раціон яблуками, ягодами та овочами.</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Схильність до чаю також середня, з впливом генів, таких як rs2231142 (GG/GG) і rs2472297 (CT/TT), які визначають чутливість до смаку та потребу в антиоксидантах, таких як катехіни та флавоноїди, що захищають клітини й покращують метаболізм. Чай знижує ризик серцево-судинних захворювань, але надмірне вживання може порушити сон через кофеїн або подразнити шлунок через танін. Рекомендується обмежитися </w:t>
      </w:r>
      <w:r w:rsidRPr="00FC55DB">
        <w:rPr>
          <w:rStyle w:val="Hyperlink0"/>
          <w:rFonts w:eastAsia="Arial Unicode MS"/>
          <w:lang w:val="ru-RU"/>
        </w:rPr>
        <w:t xml:space="preserve">3-4 </w:t>
      </w:r>
      <w:r>
        <w:rPr>
          <w:rStyle w:val="Hyperlink0"/>
          <w:rFonts w:eastAsia="Arial Unicode MS"/>
        </w:rPr>
        <w:t>чашками на день без цукру, додавати натуральні інгредієнти, уникати міцного заварювання та чергувати з водою чи соками.</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Схильність до кави є помірно високою, з генетичними маркерами, такими як rs2472297 (CT/TT) і rs4410790 (CC/CC), що впливають на метаболізм кофеїну та тягу до напою, який стимулює нервову систему, покращує пильність, але може </w:t>
      </w:r>
      <w:r>
        <w:rPr>
          <w:rStyle w:val="Hyperlink0"/>
          <w:rFonts w:eastAsia="Arial Unicode MS"/>
        </w:rPr>
        <w:lastRenderedPageBreak/>
        <w:t>викликати безсоння чи тривогу при надмірному вживанні. Рекомендується обмежитися двома чашками на день, уникати вживання перед сном, обирати якісну каву з низьким вмістом кофеїну, чергувати з трав’яними чаями чи соками та консультуватися з лікарем за наявності захворювань.</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Схильність до солі висока, що підтверджується генами, такими як rs372091 (GG/GG) і rs1229984 (CC/CC), які підвищують чутливість до солоного смаку та ризик гіпертензії при надмірному вживанні. Сіль важлива для водно-сольового балансу, але її надлишок загрожує серцево-судинним здоров’ям. Рекомендується уникати оброблених продуктів (ковбаси, чіпси), </w:t>
      </w:r>
      <w:r>
        <w:rPr>
          <w:rStyle w:val="Hyperlink0"/>
          <w:rFonts w:eastAsia="Arial Unicode MS"/>
          <w:lang w:val="ru-RU"/>
        </w:rPr>
        <w:t>читати етикетки</w:t>
      </w:r>
      <w:r>
        <w:rPr>
          <w:rStyle w:val="Hyperlink0"/>
          <w:rFonts w:eastAsia="Arial Unicode MS"/>
        </w:rPr>
        <w:t>, поступово зменшувати сіль, замінювати її травами чи лимоном, пити воду для виведення натрію та займатися фізичними вправами.</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Схильність до цукру середня, без критичних генетичних маркерів, таких як rs13178866 чи rs149038956, що впливають на метаболізм глюкози. Надмірний цукор загрожує ожирінням і діабетом, тому рекомендують споживати більше клітковини (овочі, бобові), білків (риба, яйця) і корисних жирів (горіхи, оливкова олія), скорочувати доданий цукор у солодощах і газованих напоях, а також перевіряти етикетки продуктів.</w:t>
      </w:r>
    </w:p>
    <w:p w:rsidR="003C0557" w:rsidRDefault="00030A4E">
      <w:pPr>
        <w:pStyle w:val="Default"/>
        <w:spacing w:before="0" w:line="360" w:lineRule="auto"/>
        <w:ind w:firstLine="720"/>
        <w:jc w:val="both"/>
        <w:rPr>
          <w:rStyle w:val="Hyperlink0"/>
          <w:rFonts w:eastAsia="Arial Unicode MS"/>
        </w:rPr>
      </w:pPr>
      <w:r w:rsidRPr="00FC55DB">
        <w:rPr>
          <w:rStyle w:val="Hyperlink0"/>
          <w:rFonts w:eastAsia="Arial Unicode MS"/>
        </w:rPr>
        <w:t>Загалом</w:t>
      </w:r>
      <w:r>
        <w:rPr>
          <w:rStyle w:val="Hyperlink0"/>
          <w:rFonts w:eastAsia="Arial Unicode MS"/>
        </w:rPr>
        <w:t>, ці дані підкреслюють важливість персоналізованого підходу до харчування, балансування раціону та консультацій із фахівцями для підтримки здоров’я на основі генетичних особливостей.</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Результати генетичного тесту вказують на середню схильність до споживання цукру, з генетичними маркерами, такими як rs11642841 (CA/CC) і </w:t>
      </w:r>
      <w:r>
        <w:rPr>
          <w:rStyle w:val="Hyperlink0"/>
          <w:rFonts w:eastAsia="Arial Unicode MS"/>
          <w:lang w:val="pt-PT"/>
        </w:rPr>
        <w:t xml:space="preserve">rs11577403 (GA/AA), </w:t>
      </w:r>
      <w:r>
        <w:rPr>
          <w:rStyle w:val="Hyperlink0"/>
          <w:rFonts w:eastAsia="Arial Unicode MS"/>
        </w:rPr>
        <w:t>що впливають на метаболізм глюкози та апетит до солодкого. Надмірний цукор може призводити до ожиріння, діабету 2 типу та карієсу. Рекомендується використовувати натуральні підсолоджувачі (стевія, еритритол) із низьким глікемічним індексом, замінити солодкі напої водою чи трав’яним чаєм із фруктами, а також формувати здорові звички, обмежуючи доступ до солодощів і надаючи перевагу корисним альтернативам.</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Генетичний тест показує високий ризик дефіциту вітаміну </w:t>
      </w:r>
      <w:r>
        <w:rPr>
          <w:rStyle w:val="Hyperlink0"/>
          <w:rFonts w:eastAsia="Arial Unicode MS"/>
          <w:lang w:val="pt-PT"/>
        </w:rPr>
        <w:t>A (</w:t>
      </w:r>
      <w:r>
        <w:rPr>
          <w:rStyle w:val="Hyperlink0"/>
          <w:rFonts w:eastAsia="Arial Unicode MS"/>
        </w:rPr>
        <w:t xml:space="preserve">маркери: rs77645768 GA/AA, rs645040 TT/TT), що може спричинити проблеми зі зором (нічна </w:t>
      </w:r>
      <w:r>
        <w:rPr>
          <w:rStyle w:val="Hyperlink0"/>
          <w:rFonts w:eastAsia="Arial Unicode MS"/>
        </w:rPr>
        <w:lastRenderedPageBreak/>
        <w:t xml:space="preserve">сліпота), шкірою (сухість) та імунітетом. Вітамін </w:t>
      </w:r>
      <w:r>
        <w:rPr>
          <w:rStyle w:val="Hyperlink0"/>
          <w:rFonts w:eastAsia="Arial Unicode MS"/>
          <w:lang w:val="pt-PT"/>
        </w:rPr>
        <w:t>A (</w:t>
      </w:r>
      <w:r>
        <w:rPr>
          <w:rStyle w:val="Hyperlink0"/>
          <w:rFonts w:eastAsia="Arial Unicode MS"/>
        </w:rPr>
        <w:t xml:space="preserve">ретинол, бета-каротин) підтримує очі, шкіру та репродуктивну систему, діючи як антиоксидант. Рекомендується підвищити споживання на 35-40% </w:t>
      </w:r>
      <w:r w:rsidRPr="00FC55DB">
        <w:rPr>
          <w:rStyle w:val="Hyperlink0"/>
          <w:rFonts w:eastAsia="Arial Unicode MS"/>
        </w:rPr>
        <w:t xml:space="preserve">вище норми </w:t>
      </w:r>
      <w:r>
        <w:rPr>
          <w:rStyle w:val="Hyperlink0"/>
          <w:rFonts w:eastAsia="Arial Unicode MS"/>
        </w:rPr>
        <w:t>(700-900 мкг/</w:t>
      </w:r>
      <w:r w:rsidRPr="00FC55DB">
        <w:rPr>
          <w:rStyle w:val="Hyperlink0"/>
          <w:rFonts w:eastAsia="Arial Unicode MS"/>
        </w:rPr>
        <w:t>день</w:t>
      </w:r>
      <w:r>
        <w:rPr>
          <w:rStyle w:val="Hyperlink0"/>
          <w:rFonts w:eastAsia="Arial Unicode MS"/>
        </w:rPr>
        <w:t xml:space="preserve">), включаючи печінку, молочні продукти, </w:t>
      </w:r>
      <w:r w:rsidRPr="00FC55DB">
        <w:rPr>
          <w:rStyle w:val="Hyperlink0"/>
          <w:rFonts w:eastAsia="Arial Unicode MS"/>
        </w:rPr>
        <w:t>моркву</w:t>
      </w:r>
      <w:r>
        <w:rPr>
          <w:rStyle w:val="Hyperlink0"/>
          <w:rFonts w:eastAsia="Arial Unicode MS"/>
        </w:rPr>
        <w:t xml:space="preserve">, гарбуз та шпинат, поєднуючи з жирами (оливкова олія) та вітамінами </w:t>
      </w:r>
      <w:r>
        <w:rPr>
          <w:rStyle w:val="Hyperlink0"/>
          <w:rFonts w:eastAsia="Arial Unicode MS"/>
          <w:lang w:val="es-ES_tradnl"/>
        </w:rPr>
        <w:t xml:space="preserve">E, C, </w:t>
      </w:r>
      <w:r>
        <w:rPr>
          <w:rStyle w:val="Hyperlink0"/>
          <w:rFonts w:eastAsia="Arial Unicode MS"/>
        </w:rPr>
        <w:t>цинком. Консультація з лікарем і аналізи крові (норма 300-700 мкг/л) необхідні для корекції.</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Середній ризик дефіциту вітаміну B1 (тіамін, маркери</w:t>
      </w:r>
      <w:r>
        <w:rPr>
          <w:rStyle w:val="Hyperlink0"/>
          <w:rFonts w:eastAsia="Arial Unicode MS"/>
          <w:lang w:val="pt-PT"/>
        </w:rPr>
        <w:t xml:space="preserve">: rs766420 CG/GG, rs10126322 CT/TT) </w:t>
      </w:r>
      <w:r w:rsidRPr="00FC55DB">
        <w:rPr>
          <w:rStyle w:val="Hyperlink0"/>
          <w:rFonts w:eastAsia="Arial Unicode MS"/>
        </w:rPr>
        <w:t>може викликати втому</w:t>
      </w:r>
      <w:r>
        <w:rPr>
          <w:rStyle w:val="Hyperlink0"/>
          <w:rFonts w:eastAsia="Arial Unicode MS"/>
        </w:rPr>
        <w:t xml:space="preserve">, проблеми з серцем та травленням. Тіамін важливий для енергетичного обміну та нервової системи. Рекомендується збільшити споживання на 25-30% </w:t>
      </w:r>
      <w:r>
        <w:rPr>
          <w:rStyle w:val="Hyperlink0"/>
          <w:rFonts w:eastAsia="Arial Unicode MS"/>
          <w:lang w:val="ru-RU"/>
        </w:rPr>
        <w:t xml:space="preserve">вище норми </w:t>
      </w:r>
      <w:r>
        <w:rPr>
          <w:rStyle w:val="Hyperlink0"/>
          <w:rFonts w:eastAsia="Arial Unicode MS"/>
        </w:rPr>
        <w:t>(2-3 мг/</w:t>
      </w:r>
      <w:r>
        <w:rPr>
          <w:rStyle w:val="Hyperlink0"/>
          <w:rFonts w:eastAsia="Arial Unicode MS"/>
          <w:lang w:val="ru-RU"/>
        </w:rPr>
        <w:t>день</w:t>
      </w:r>
      <w:r>
        <w:rPr>
          <w:rStyle w:val="Hyperlink0"/>
          <w:rFonts w:eastAsia="Arial Unicode MS"/>
        </w:rPr>
        <w:t>), включаючи цільнозернові, бобові, м’ясо та горіхи, уникаючи тривалого варіння.</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Помірно високий ризик дефіциту вітаміну B2 (рибофлавін, маркери: rs12493802 TT/TT, rs11717712 CT/TT) може призвести до тріщин у куточках рота, світлобоязні та запалення язика. Рибофлавін підтримує енергообмін і здоров’я очей. Рекомендується підвищити споживання на 50-70% </w:t>
      </w:r>
      <w:r w:rsidRPr="00FC55DB">
        <w:rPr>
          <w:rStyle w:val="Hyperlink0"/>
          <w:rFonts w:eastAsia="Arial Unicode MS"/>
        </w:rPr>
        <w:t>вище норми</w:t>
      </w:r>
      <w:r>
        <w:rPr>
          <w:rStyle w:val="Hyperlink0"/>
          <w:rFonts w:eastAsia="Arial Unicode MS"/>
        </w:rPr>
        <w:t xml:space="preserve">, </w:t>
      </w:r>
      <w:r w:rsidRPr="00FC55DB">
        <w:rPr>
          <w:rStyle w:val="Hyperlink0"/>
          <w:rFonts w:eastAsia="Arial Unicode MS"/>
        </w:rPr>
        <w:t>включаючи молоко</w:t>
      </w:r>
      <w:r>
        <w:rPr>
          <w:rStyle w:val="Hyperlink0"/>
          <w:rFonts w:eastAsia="Arial Unicode MS"/>
        </w:rPr>
        <w:t xml:space="preserve">, сир, печінку, яйця та зелень, уникаючи впливу світла. </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Середній ризик дефіциту вітаміну B3 (ніацин, маркери не вказані) </w:t>
      </w:r>
      <w:r>
        <w:rPr>
          <w:rStyle w:val="Hyperlink0"/>
          <w:rFonts w:eastAsia="Arial Unicode MS"/>
          <w:lang w:val="ru-RU"/>
        </w:rPr>
        <w:t xml:space="preserve">може спричинити пелагру </w:t>
      </w:r>
      <w:r>
        <w:rPr>
          <w:rStyle w:val="Hyperlink0"/>
          <w:rFonts w:eastAsia="Arial Unicode MS"/>
        </w:rPr>
        <w:t xml:space="preserve">(дерматит, діарею, деменцію). Ніацин підтримує енергетичний обмін, знижує холестерин і захищає нервову систему. Рекомендується збільшити споживання на 25-30% </w:t>
      </w:r>
      <w:r>
        <w:rPr>
          <w:rStyle w:val="Hyperlink0"/>
          <w:rFonts w:eastAsia="Arial Unicode MS"/>
          <w:lang w:val="ru-RU"/>
        </w:rPr>
        <w:t xml:space="preserve">вище норми </w:t>
      </w:r>
      <w:r>
        <w:rPr>
          <w:rStyle w:val="Hyperlink0"/>
          <w:rFonts w:eastAsia="Arial Unicode MS"/>
        </w:rPr>
        <w:t>(14-18 мг/</w:t>
      </w:r>
      <w:r>
        <w:rPr>
          <w:rStyle w:val="Hyperlink0"/>
          <w:rFonts w:eastAsia="Arial Unicode MS"/>
          <w:lang w:val="ru-RU"/>
        </w:rPr>
        <w:t>день</w:t>
      </w:r>
      <w:r>
        <w:rPr>
          <w:rStyle w:val="Hyperlink0"/>
          <w:rFonts w:eastAsia="Arial Unicode MS"/>
        </w:rPr>
        <w:t xml:space="preserve">), включаючи м’ясо, </w:t>
      </w:r>
      <w:r>
        <w:rPr>
          <w:rStyle w:val="Hyperlink0"/>
          <w:rFonts w:eastAsia="Arial Unicode MS"/>
          <w:lang w:val="ru-RU"/>
        </w:rPr>
        <w:t>рибу</w:t>
      </w:r>
      <w:r>
        <w:rPr>
          <w:rStyle w:val="Hyperlink0"/>
          <w:rFonts w:eastAsia="Arial Unicode MS"/>
        </w:rPr>
        <w:t xml:space="preserve">, бобові та цільнозернові, уникаючи тривалого готування. </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Генетичний тест свідчить про високу схильність до фізичної активності, тому для підтримки форми рекомендовано поєднувати кардіо, як-от біг чи плавання, із силовими тренуваннями та розтяжкою, що дозволяє уникнути перенапруження та зробити заняття більш цікавими, водночас поступово збільшуючи інтенсивність і тривалість навантажень для запобігання травмам і забезпечення сталого прогресу; крім того, важливо дотримуватися правильного харчування для підтримки енергії та відновлення м’язів, достатнього сну тривалістю 7–9 годин, а також при потребі консультуватися з тренером для розробки індивідуальної програми. Генетичний аналіз також вказує на високу схильність до виснажливості, тому слід включати у </w:t>
      </w:r>
      <w:r>
        <w:rPr>
          <w:rStyle w:val="Hyperlink0"/>
          <w:rFonts w:eastAsia="Arial Unicode MS"/>
        </w:rPr>
        <w:lastRenderedPageBreak/>
        <w:t xml:space="preserve">раціон фрукти, овочі, цільнозернові продукти, білки та здорові жири, уникати кофеїну та алкоголю, підтримувати водний баланс, а при потребі використовувати дієтичні добавки, такі як коензим </w:t>
      </w:r>
      <w:r>
        <w:rPr>
          <w:rStyle w:val="Hyperlink0"/>
          <w:rFonts w:eastAsia="Arial Unicode MS"/>
          <w:lang w:val="it-IT"/>
        </w:rPr>
        <w:t xml:space="preserve">Q10, </w:t>
      </w:r>
      <w:r>
        <w:rPr>
          <w:rStyle w:val="Hyperlink0"/>
          <w:rFonts w:eastAsia="Arial Unicode MS"/>
        </w:rPr>
        <w:t xml:space="preserve">магній або L-карнітин після консультації з лікарем, а також адаптогени, </w:t>
      </w:r>
      <w:r w:rsidRPr="00FC55DB">
        <w:rPr>
          <w:rStyle w:val="Hyperlink0"/>
          <w:rFonts w:eastAsia="Arial Unicode MS"/>
        </w:rPr>
        <w:t>наприклад женьшень або ашваганду</w:t>
      </w:r>
      <w:r>
        <w:rPr>
          <w:rStyle w:val="Hyperlink0"/>
          <w:rFonts w:eastAsia="Arial Unicode MS"/>
        </w:rPr>
        <w:t xml:space="preserve">, що сприяють підвищенню витривалості; для відновлення необхідно дотримуватися повноцінного сну, додавати помірні навантаження та зменшувати перевтому, при цьому адаптуючи спосіб життя і за необхідності знижуючи робоче або навчальне навантаження. Щодо аеробного потенціалу, який перевищує середній рівень, рекомендується регулярне аеробне навантаження, наприклад біг, плавання чи їзда на велосипеді 150 хвилин на тиждень помірної інтенсивності або 75 хвилин високої інтенсивності, збалансоване харчування з вуглеводами, білками та здоровими жирами, забезпечення відновлення через достатній сон та дні відпочинку, управління стресом за допомогою медитації чи йоги, а також медичний огляд перед початком інтенсивних тренувань. Схильність до травм помірно низька, тому для збереження цього стану слід консультуватися з лікарем, підтримувати збалансоване харчування з кальцієм і вітаміном D, регулярно займатися фізичними вправами для зміцнення м’язів і зв’язок, поступово збільшуючи навантаження. Щільність кісток оцінюється як середня, тому важливо споживати продукти, багаті на кальцій, вітаміни </w:t>
      </w:r>
      <w:r>
        <w:rPr>
          <w:rStyle w:val="Hyperlink0"/>
          <w:rFonts w:eastAsia="Arial Unicode MS"/>
          <w:lang w:val="en-US"/>
        </w:rPr>
        <w:t>D</w:t>
      </w:r>
      <w:r w:rsidRPr="00FC55DB">
        <w:rPr>
          <w:rStyle w:val="Hyperlink0"/>
          <w:rFonts w:eastAsia="Arial Unicode MS"/>
        </w:rPr>
        <w:t xml:space="preserve"> </w:t>
      </w:r>
      <w:r>
        <w:rPr>
          <w:rStyle w:val="Hyperlink0"/>
          <w:rFonts w:eastAsia="Arial Unicode MS"/>
        </w:rPr>
        <w:t xml:space="preserve">і K, розглянути додатковий прийом добавок після консультації з лікарем, виконувати силові вправи, тренування на рівновагу та аеробні навантаження, а також приймати сонячні ванни для синтезу вітаміну D. Реакція на кетогенну дієту є середньою, тому варто поступово зменшувати споживання вуглеводів, контролювати рівень електролітів через продукти або добавки, підтримувати баланс білків і жирів, регулярно тренуватися та отримати консультацію лікаря для уникнення побічних ефектів. Реакція на вегетаріанство є помірно гарною, отже слід підтримувати збалансований раціон з бобовими, горіхами та насінням, виконувати фізичні вправи для підтримки м’язової маси та коригувати харчування залежно від самопочуття. Середня реакція на середземноморську дієту передбачає споживання овочів, фруктів, горіхів, риби та оливкової олії, регулярну фізичну активність, поступове введення клітковини та контроль порцій. Щодо низькожирової дієти </w:t>
      </w:r>
      <w:r>
        <w:rPr>
          <w:rStyle w:val="Hyperlink0"/>
          <w:rFonts w:eastAsia="Arial Unicode MS"/>
        </w:rPr>
        <w:lastRenderedPageBreak/>
        <w:t xml:space="preserve">середня реакція означає, що потрібно включати корисні жири, зокрема омега-3 та омега-6, уникати трансжирів, підтримувати фізичну активність і коригувати споживання жирів за самопочуттям. </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Другий досліджуваний, 44 роки, чоловіча стать, проходив комплексне лабораторне обстеження у лабораторії Synevo у Львові 26 грудня </w:t>
      </w:r>
      <w:r w:rsidRPr="00FC55DB">
        <w:rPr>
          <w:rStyle w:val="Hyperlink0"/>
          <w:rFonts w:eastAsia="Arial Unicode MS"/>
          <w:lang w:val="ru-RU"/>
        </w:rPr>
        <w:t xml:space="preserve">2024 </w:t>
      </w:r>
      <w:r>
        <w:rPr>
          <w:rStyle w:val="Hyperlink0"/>
          <w:rFonts w:eastAsia="Arial Unicode MS"/>
          <w:lang w:val="ru-RU"/>
        </w:rPr>
        <w:t>року</w:t>
      </w:r>
      <w:r>
        <w:rPr>
          <w:rStyle w:val="Hyperlink0"/>
          <w:rFonts w:eastAsia="Arial Unicode MS"/>
        </w:rPr>
        <w:t xml:space="preserve">. За результатами біохімічного аналізу крові загальний білок становив 76,9 г/л, що знаходиться в межах норми для дорослих (66–87 г/л), а креатинін – 96,7 </w:t>
      </w:r>
      <w:r>
        <w:rPr>
          <w:rStyle w:val="Hyperlink0"/>
          <w:rFonts w:eastAsia="Arial Unicode MS"/>
          <w:lang w:val="ru-RU"/>
        </w:rPr>
        <w:t>мкмоль</w:t>
      </w:r>
      <w:r>
        <w:rPr>
          <w:rStyle w:val="Hyperlink0"/>
          <w:rFonts w:eastAsia="Arial Unicode MS"/>
        </w:rPr>
        <w:t xml:space="preserve">/л, також у нормальному діапазоні (62–106 </w:t>
      </w:r>
      <w:r>
        <w:rPr>
          <w:rStyle w:val="Hyperlink0"/>
          <w:rFonts w:eastAsia="Arial Unicode MS"/>
          <w:lang w:val="ru-RU"/>
        </w:rPr>
        <w:t>мкмоль</w:t>
      </w:r>
      <w:r>
        <w:rPr>
          <w:rStyle w:val="Hyperlink0"/>
          <w:rFonts w:eastAsia="Arial Unicode MS"/>
        </w:rPr>
        <w:t xml:space="preserve">/л). </w:t>
      </w:r>
      <w:r>
        <w:rPr>
          <w:rStyle w:val="Hyperlink0"/>
          <w:rFonts w:eastAsia="Arial Unicode MS"/>
          <w:lang w:val="ru-RU"/>
        </w:rPr>
        <w:t xml:space="preserve">Загальний холестерин становив </w:t>
      </w:r>
      <w:r>
        <w:rPr>
          <w:rStyle w:val="Hyperlink0"/>
          <w:rFonts w:eastAsia="Arial Unicode MS"/>
        </w:rPr>
        <w:t xml:space="preserve">5,3 </w:t>
      </w:r>
      <w:r>
        <w:rPr>
          <w:rStyle w:val="Hyperlink0"/>
          <w:rFonts w:eastAsia="Arial Unicode MS"/>
          <w:lang w:val="ru-RU"/>
        </w:rPr>
        <w:t>ммоль</w:t>
      </w:r>
      <w:r>
        <w:rPr>
          <w:rStyle w:val="Hyperlink0"/>
          <w:rFonts w:eastAsia="Arial Unicode MS"/>
        </w:rPr>
        <w:t xml:space="preserve">/л, що трохи перевищує рекомендовану межу (&lt;5,0 </w:t>
      </w:r>
      <w:r>
        <w:rPr>
          <w:rStyle w:val="Hyperlink0"/>
          <w:rFonts w:eastAsia="Arial Unicode MS"/>
          <w:lang w:val="ru-RU"/>
        </w:rPr>
        <w:t>ммоль</w:t>
      </w:r>
      <w:r>
        <w:rPr>
          <w:rStyle w:val="Hyperlink0"/>
          <w:rFonts w:eastAsia="Arial Unicode MS"/>
        </w:rPr>
        <w:t xml:space="preserve">/л), тригліцериди – 1,73 </w:t>
      </w:r>
      <w:r>
        <w:rPr>
          <w:rStyle w:val="Hyperlink0"/>
          <w:rFonts w:eastAsia="Arial Unicode MS"/>
          <w:lang w:val="ru-RU"/>
        </w:rPr>
        <w:t>ммоль</w:t>
      </w:r>
      <w:r>
        <w:rPr>
          <w:rStyle w:val="Hyperlink0"/>
          <w:rFonts w:eastAsia="Arial Unicode MS"/>
        </w:rPr>
        <w:t xml:space="preserve">/л, практично на межі нормального рівня (&lt;1,7 </w:t>
      </w:r>
      <w:r>
        <w:rPr>
          <w:rStyle w:val="Hyperlink0"/>
          <w:rFonts w:eastAsia="Arial Unicode MS"/>
          <w:lang w:val="ru-RU"/>
        </w:rPr>
        <w:t>ммоль</w:t>
      </w:r>
      <w:r>
        <w:rPr>
          <w:rStyle w:val="Hyperlink0"/>
          <w:rFonts w:eastAsia="Arial Unicode MS"/>
        </w:rPr>
        <w:t xml:space="preserve">/л). Ліпопротеїди високої щільності (HDL) </w:t>
      </w:r>
      <w:r w:rsidRPr="00FC55DB">
        <w:rPr>
          <w:rStyle w:val="Hyperlink0"/>
          <w:rFonts w:eastAsia="Arial Unicode MS"/>
        </w:rPr>
        <w:t xml:space="preserve">були </w:t>
      </w:r>
      <w:r>
        <w:rPr>
          <w:rStyle w:val="Hyperlink0"/>
          <w:rFonts w:eastAsia="Arial Unicode MS"/>
        </w:rPr>
        <w:t xml:space="preserve">1,05 </w:t>
      </w:r>
      <w:r w:rsidRPr="00FC55DB">
        <w:rPr>
          <w:rStyle w:val="Hyperlink0"/>
          <w:rFonts w:eastAsia="Arial Unicode MS"/>
        </w:rPr>
        <w:t>ммоль</w:t>
      </w:r>
      <w:r>
        <w:rPr>
          <w:rStyle w:val="Hyperlink0"/>
          <w:rFonts w:eastAsia="Arial Unicode MS"/>
        </w:rPr>
        <w:t>/</w:t>
      </w:r>
      <w:r w:rsidRPr="00FC55DB">
        <w:rPr>
          <w:rStyle w:val="Hyperlink0"/>
          <w:rFonts w:eastAsia="Arial Unicode MS"/>
        </w:rPr>
        <w:t xml:space="preserve">л </w:t>
      </w:r>
      <w:r>
        <w:rPr>
          <w:rStyle w:val="Hyperlink0"/>
          <w:rFonts w:eastAsia="Arial Unicode MS"/>
        </w:rPr>
        <w:t xml:space="preserve">(норма ≥1,0 </w:t>
      </w:r>
      <w:r w:rsidRPr="00FC55DB">
        <w:rPr>
          <w:rStyle w:val="Hyperlink0"/>
          <w:rFonts w:eastAsia="Arial Unicode MS"/>
        </w:rPr>
        <w:t>ммоль</w:t>
      </w:r>
      <w:r>
        <w:rPr>
          <w:rStyle w:val="Hyperlink0"/>
          <w:rFonts w:eastAsia="Arial Unicode MS"/>
        </w:rPr>
        <w:t xml:space="preserve">/л), а ліпопротеїди низької щільності </w:t>
      </w:r>
      <w:r>
        <w:rPr>
          <w:rStyle w:val="Hyperlink0"/>
          <w:rFonts w:eastAsia="Arial Unicode MS"/>
          <w:lang w:val="de-DE"/>
        </w:rPr>
        <w:t xml:space="preserve">(LDL) </w:t>
      </w:r>
      <w:r>
        <w:rPr>
          <w:rStyle w:val="Hyperlink0"/>
          <w:rFonts w:eastAsia="Arial Unicode MS"/>
        </w:rPr>
        <w:t xml:space="preserve">– 3,7 </w:t>
      </w:r>
      <w:r w:rsidRPr="00FC55DB">
        <w:rPr>
          <w:rStyle w:val="Hyperlink0"/>
          <w:rFonts w:eastAsia="Arial Unicode MS"/>
        </w:rPr>
        <w:t>ммоль</w:t>
      </w:r>
      <w:r>
        <w:rPr>
          <w:rStyle w:val="Hyperlink0"/>
          <w:rFonts w:eastAsia="Arial Unicode MS"/>
        </w:rPr>
        <w:t xml:space="preserve">/л, що перевищує цільові значення для помірного ризику (&lt;3,4 </w:t>
      </w:r>
      <w:r w:rsidRPr="00FC55DB">
        <w:rPr>
          <w:rStyle w:val="Hyperlink0"/>
          <w:rFonts w:eastAsia="Arial Unicode MS"/>
        </w:rPr>
        <w:t>ммоль</w:t>
      </w:r>
      <w:r>
        <w:rPr>
          <w:rStyle w:val="Hyperlink0"/>
          <w:rFonts w:eastAsia="Arial Unicode MS"/>
        </w:rPr>
        <w:t>/л). Коефіцієнт атерогенності становив 4,05, що перевищує норму (&lt;3,0), свідчачи про підвищений ризик атерогенних процесів.</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Імунохімічне дослідження показало, що рівні антитіл до пероксидази щитоподібної залози (ATPO) </w:t>
      </w:r>
      <w:r w:rsidRPr="00FC55DB">
        <w:rPr>
          <w:rStyle w:val="Hyperlink0"/>
          <w:rFonts w:eastAsia="Arial Unicode MS"/>
        </w:rPr>
        <w:t xml:space="preserve">були </w:t>
      </w:r>
      <w:r>
        <w:rPr>
          <w:rStyle w:val="Hyperlink0"/>
          <w:rFonts w:eastAsia="Arial Unicode MS"/>
        </w:rPr>
        <w:t>&lt;9 МО/</w:t>
      </w:r>
      <w:r w:rsidRPr="00FC55DB">
        <w:rPr>
          <w:rStyle w:val="Hyperlink0"/>
          <w:rFonts w:eastAsia="Arial Unicode MS"/>
        </w:rPr>
        <w:t xml:space="preserve">мл </w:t>
      </w:r>
      <w:r>
        <w:rPr>
          <w:rStyle w:val="Hyperlink0"/>
          <w:rFonts w:eastAsia="Arial Unicode MS"/>
        </w:rPr>
        <w:t>(норма &lt;34), T4 вільний – 1,24 нг/</w:t>
      </w:r>
      <w:r w:rsidRPr="00FC55DB">
        <w:rPr>
          <w:rStyle w:val="Hyperlink0"/>
          <w:rFonts w:eastAsia="Arial Unicode MS"/>
        </w:rPr>
        <w:t xml:space="preserve">дл </w:t>
      </w:r>
      <w:r>
        <w:rPr>
          <w:rStyle w:val="Hyperlink0"/>
          <w:rFonts w:eastAsia="Arial Unicode MS"/>
        </w:rPr>
        <w:t>(норма 0,92–1,68), а T3 вільний – 1,05 нг/</w:t>
      </w:r>
      <w:r w:rsidRPr="00FC55DB">
        <w:rPr>
          <w:rStyle w:val="Hyperlink0"/>
          <w:rFonts w:eastAsia="Arial Unicode MS"/>
        </w:rPr>
        <w:t xml:space="preserve">мл </w:t>
      </w:r>
      <w:r>
        <w:rPr>
          <w:rStyle w:val="Hyperlink0"/>
          <w:rFonts w:eastAsia="Arial Unicode MS"/>
        </w:rPr>
        <w:t xml:space="preserve">(норма </w:t>
      </w:r>
      <w:r w:rsidRPr="00FC55DB">
        <w:rPr>
          <w:rStyle w:val="Hyperlink0"/>
          <w:rFonts w:eastAsia="Arial Unicode MS"/>
        </w:rPr>
        <w:t>2,0</w:t>
      </w:r>
      <w:r>
        <w:rPr>
          <w:rStyle w:val="Hyperlink0"/>
          <w:rFonts w:eastAsia="Arial Unicode MS"/>
        </w:rPr>
        <w:t xml:space="preserve">–4,4). Глюкоза сироватки крові становила 5,39 </w:t>
      </w:r>
      <w:r w:rsidRPr="00FC55DB">
        <w:rPr>
          <w:rStyle w:val="Hyperlink0"/>
          <w:rFonts w:eastAsia="Arial Unicode MS"/>
        </w:rPr>
        <w:t>ммоль</w:t>
      </w:r>
      <w:r>
        <w:rPr>
          <w:rStyle w:val="Hyperlink0"/>
          <w:rFonts w:eastAsia="Arial Unicode MS"/>
        </w:rPr>
        <w:t>/</w:t>
      </w:r>
      <w:r w:rsidRPr="00FC55DB">
        <w:rPr>
          <w:rStyle w:val="Hyperlink0"/>
          <w:rFonts w:eastAsia="Arial Unicode MS"/>
        </w:rPr>
        <w:t xml:space="preserve">л </w:t>
      </w:r>
      <w:r>
        <w:rPr>
          <w:rStyle w:val="Hyperlink0"/>
          <w:rFonts w:eastAsia="Arial Unicode MS"/>
        </w:rPr>
        <w:t xml:space="preserve">(норма 4,11–5,89), інсулін – 9,97 </w:t>
      </w:r>
      <w:r w:rsidRPr="00FC55DB">
        <w:rPr>
          <w:rStyle w:val="Hyperlink0"/>
          <w:rFonts w:eastAsia="Arial Unicode MS"/>
        </w:rPr>
        <w:t>мкОд</w:t>
      </w:r>
      <w:r>
        <w:rPr>
          <w:rStyle w:val="Hyperlink0"/>
          <w:rFonts w:eastAsia="Arial Unicode MS"/>
        </w:rPr>
        <w:t>/</w:t>
      </w:r>
      <w:r w:rsidRPr="00FC55DB">
        <w:rPr>
          <w:rStyle w:val="Hyperlink0"/>
          <w:rFonts w:eastAsia="Arial Unicode MS"/>
        </w:rPr>
        <w:t xml:space="preserve">мл </w:t>
      </w:r>
      <w:r>
        <w:rPr>
          <w:rStyle w:val="Hyperlink0"/>
          <w:rFonts w:eastAsia="Arial Unicode MS"/>
        </w:rPr>
        <w:t xml:space="preserve">(норма 2,6–24,9), а розрахунковий індекс </w:t>
      </w:r>
      <w:r>
        <w:rPr>
          <w:rStyle w:val="Hyperlink0"/>
          <w:rFonts w:eastAsia="Arial Unicode MS"/>
          <w:lang w:val="de-DE"/>
        </w:rPr>
        <w:t xml:space="preserve">HOMA </w:t>
      </w:r>
      <w:r>
        <w:rPr>
          <w:rStyle w:val="Hyperlink0"/>
          <w:rFonts w:eastAsia="Arial Unicode MS"/>
        </w:rPr>
        <w:t>– 2,39 (норма ≤3,0), що свідчить про нормальну чутливість до інсуліну та відсутність ознак порушення глікемії.</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Копрограма продемонструвала відсутність патологічних змін: консистенція калових мас була м’якою, колір – коричневий</w:t>
      </w:r>
      <w:r>
        <w:rPr>
          <w:rStyle w:val="Hyperlink0"/>
          <w:rFonts w:eastAsia="Arial Unicode MS"/>
          <w:lang w:val="de-DE"/>
        </w:rPr>
        <w:t xml:space="preserve">, pH </w:t>
      </w:r>
      <w:r w:rsidRPr="00FC55DB">
        <w:rPr>
          <w:rStyle w:val="Hyperlink0"/>
          <w:rFonts w:eastAsia="Arial Unicode MS"/>
        </w:rPr>
        <w:t>– слабокислий</w:t>
      </w:r>
      <w:r>
        <w:rPr>
          <w:rStyle w:val="Hyperlink0"/>
          <w:rFonts w:eastAsia="Arial Unicode MS"/>
        </w:rPr>
        <w:t xml:space="preserve">, сполучна тканина та неперетравлені м’язові волокна виявлялися поодинокими, інші показники, включно з крохмалем, йодофільними бактеріями, лейкоцитами, еритроцитами, епітелієм, дріжджоподібними грибами та яйцями гельмінтів, </w:t>
      </w:r>
      <w:r w:rsidRPr="00FC55DB">
        <w:rPr>
          <w:rStyle w:val="Hyperlink0"/>
          <w:rFonts w:eastAsia="Arial Unicode MS"/>
        </w:rPr>
        <w:t>були в межах норми</w:t>
      </w:r>
      <w:r>
        <w:rPr>
          <w:rStyle w:val="Hyperlink0"/>
          <w:rFonts w:eastAsia="Arial Unicode MS"/>
        </w:rPr>
        <w:t>.</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Загальний аналіз сечі з мікроскопічною оцінкою осаду також не виявив патологічних змін: сеча світло-жовта, прозора, відносна щільність </w:t>
      </w:r>
      <w:r w:rsidRPr="00FC55DB">
        <w:rPr>
          <w:rStyle w:val="Hyperlink0"/>
          <w:rFonts w:eastAsia="Arial Unicode MS"/>
        </w:rPr>
        <w:t xml:space="preserve">1,003 </w:t>
      </w:r>
      <w:r>
        <w:rPr>
          <w:rStyle w:val="Hyperlink0"/>
          <w:rFonts w:eastAsia="Arial Unicode MS"/>
        </w:rPr>
        <w:t>г/мл</w:t>
      </w:r>
      <w:r>
        <w:rPr>
          <w:rStyle w:val="Hyperlink0"/>
          <w:rFonts w:eastAsia="Arial Unicode MS"/>
          <w:lang w:val="de-DE"/>
        </w:rPr>
        <w:t xml:space="preserve">, pH 5,5, </w:t>
      </w:r>
      <w:r>
        <w:rPr>
          <w:rStyle w:val="Hyperlink0"/>
          <w:rFonts w:eastAsia="Arial Unicode MS"/>
        </w:rPr>
        <w:t xml:space="preserve">білок &lt;0,15 г/л, глюкоза &lt;2,8 </w:t>
      </w:r>
      <w:r w:rsidRPr="00FC55DB">
        <w:rPr>
          <w:rStyle w:val="Hyperlink0"/>
          <w:rFonts w:eastAsia="Arial Unicode MS"/>
        </w:rPr>
        <w:t>ммоль</w:t>
      </w:r>
      <w:r>
        <w:rPr>
          <w:rStyle w:val="Hyperlink0"/>
          <w:rFonts w:eastAsia="Arial Unicode MS"/>
        </w:rPr>
        <w:t xml:space="preserve">/л, кетони &lt;0,93 </w:t>
      </w:r>
      <w:r w:rsidRPr="00FC55DB">
        <w:rPr>
          <w:rStyle w:val="Hyperlink0"/>
          <w:rFonts w:eastAsia="Arial Unicode MS"/>
        </w:rPr>
        <w:t>ммоль</w:t>
      </w:r>
      <w:r>
        <w:rPr>
          <w:rStyle w:val="Hyperlink0"/>
          <w:rFonts w:eastAsia="Arial Unicode MS"/>
        </w:rPr>
        <w:t xml:space="preserve">/л, білірубін &lt;8,6 </w:t>
      </w:r>
      <w:r w:rsidRPr="00FC55DB">
        <w:rPr>
          <w:rStyle w:val="Hyperlink0"/>
          <w:rFonts w:eastAsia="Arial Unicode MS"/>
        </w:rPr>
        <w:t>мкмоль</w:t>
      </w:r>
      <w:r>
        <w:rPr>
          <w:rStyle w:val="Hyperlink0"/>
          <w:rFonts w:eastAsia="Arial Unicode MS"/>
        </w:rPr>
        <w:t>/л, нітрити та лейкоцити – в межах норми, осад сечі (еритроцитарні та лейкоцитарні циліндри, кристали, слиз, бактерії, дріжджеподібні) – не виявлені.</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lastRenderedPageBreak/>
        <w:t xml:space="preserve">Загальний аналіз крові показав наступні значення: лейкоцити </w:t>
      </w:r>
      <w:r>
        <w:rPr>
          <w:rStyle w:val="Hyperlink0"/>
          <w:rFonts w:eastAsia="Arial Unicode MS"/>
          <w:lang w:val="pt-PT"/>
        </w:rPr>
        <w:t xml:space="preserve">(WBC) </w:t>
      </w:r>
      <w:r>
        <w:rPr>
          <w:rStyle w:val="Hyperlink0"/>
          <w:rFonts w:eastAsia="Arial Unicode MS"/>
        </w:rPr>
        <w:t>– 6,61</w:t>
      </w:r>
      <w:r>
        <w:rPr>
          <w:rStyle w:val="Hyperlink0"/>
          <w:rFonts w:eastAsia="Arial Unicode MS"/>
          <w:lang w:val="fr-FR"/>
        </w:rPr>
        <w:t> × </w:t>
      </w:r>
      <w:r>
        <w:rPr>
          <w:rStyle w:val="Hyperlink0"/>
          <w:rFonts w:eastAsia="Arial Unicode MS"/>
        </w:rPr>
        <w:t xml:space="preserve">10^9/л, еритроцити </w:t>
      </w:r>
      <w:r>
        <w:rPr>
          <w:rStyle w:val="Hyperlink0"/>
          <w:rFonts w:eastAsia="Arial Unicode MS"/>
          <w:lang w:val="pt-PT"/>
        </w:rPr>
        <w:t xml:space="preserve">(RBC) </w:t>
      </w:r>
      <w:r>
        <w:rPr>
          <w:rStyle w:val="Hyperlink0"/>
          <w:rFonts w:eastAsia="Arial Unicode MS"/>
        </w:rPr>
        <w:t>– 5,32</w:t>
      </w:r>
      <w:r>
        <w:rPr>
          <w:rStyle w:val="Hyperlink0"/>
          <w:rFonts w:eastAsia="Arial Unicode MS"/>
          <w:lang w:val="fr-FR"/>
        </w:rPr>
        <w:t> × </w:t>
      </w:r>
      <w:r>
        <w:rPr>
          <w:rStyle w:val="Hyperlink0"/>
          <w:rFonts w:eastAsia="Arial Unicode MS"/>
        </w:rPr>
        <w:t>10^12/л, гемоглобін (HGB) – 153 г/л, гематокрит (HCT) – 46,6</w:t>
      </w:r>
      <w:r>
        <w:rPr>
          <w:rStyle w:val="Hyperlink0"/>
          <w:rFonts w:eastAsia="Arial Unicode MS"/>
          <w:lang w:val="fr-FR"/>
        </w:rPr>
        <w:t> </w:t>
      </w:r>
      <w:r>
        <w:rPr>
          <w:rStyle w:val="Hyperlink0"/>
          <w:rFonts w:eastAsia="Arial Unicode MS"/>
        </w:rPr>
        <w:t xml:space="preserve">%, середній об’єм еритроцита (MCV) – 87,6 фл, середній вміст гемоглобіну в еритроциті </w:t>
      </w:r>
      <w:r>
        <w:rPr>
          <w:rStyle w:val="Hyperlink0"/>
          <w:rFonts w:eastAsia="Arial Unicode MS"/>
          <w:lang w:val="de-DE"/>
        </w:rPr>
        <w:t xml:space="preserve">(MCH) </w:t>
      </w:r>
      <w:r>
        <w:rPr>
          <w:rStyle w:val="Hyperlink0"/>
          <w:rFonts w:eastAsia="Arial Unicode MS"/>
        </w:rPr>
        <w:t>– 28,8 пг, середня концентрація гемоглобіну в еритроциті (MCHC) – 32,8</w:t>
      </w:r>
      <w:r>
        <w:rPr>
          <w:rStyle w:val="Hyperlink0"/>
          <w:rFonts w:eastAsia="Arial Unicode MS"/>
          <w:lang w:val="fr-FR"/>
        </w:rPr>
        <w:t> </w:t>
      </w:r>
      <w:r>
        <w:rPr>
          <w:rStyle w:val="Hyperlink0"/>
          <w:rFonts w:eastAsia="Arial Unicode MS"/>
        </w:rPr>
        <w:t xml:space="preserve">%, тромбоцити </w:t>
      </w:r>
      <w:r>
        <w:rPr>
          <w:rStyle w:val="Hyperlink0"/>
          <w:rFonts w:eastAsia="Arial Unicode MS"/>
          <w:lang w:val="de-DE"/>
        </w:rPr>
        <w:t xml:space="preserve">(PLT) </w:t>
      </w:r>
      <w:r>
        <w:rPr>
          <w:rStyle w:val="Hyperlink0"/>
          <w:rFonts w:eastAsia="Arial Unicode MS"/>
        </w:rPr>
        <w:t>– 246</w:t>
      </w:r>
      <w:r>
        <w:rPr>
          <w:rStyle w:val="Hyperlink0"/>
          <w:rFonts w:eastAsia="Arial Unicode MS"/>
          <w:lang w:val="fr-FR"/>
        </w:rPr>
        <w:t> × </w:t>
      </w:r>
      <w:r>
        <w:rPr>
          <w:rStyle w:val="Hyperlink0"/>
          <w:rFonts w:eastAsia="Arial Unicode MS"/>
        </w:rPr>
        <w:t>10^9/л. Усі показники перебувають у межах референтних значень для дорослих чоловіків.</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Щодо лейкоцитарної формули, спостерігалося: нейтрофіли – 48,7</w:t>
      </w:r>
      <w:r>
        <w:rPr>
          <w:rStyle w:val="Hyperlink0"/>
          <w:rFonts w:eastAsia="Arial Unicode MS"/>
          <w:lang w:val="fr-FR"/>
        </w:rPr>
        <w:t> </w:t>
      </w:r>
      <w:r>
        <w:rPr>
          <w:rStyle w:val="Hyperlink0"/>
          <w:rFonts w:eastAsia="Arial Unicode MS"/>
        </w:rPr>
        <w:t>% (</w:t>
      </w:r>
      <w:r w:rsidRPr="00FC55DB">
        <w:rPr>
          <w:rStyle w:val="Hyperlink0"/>
          <w:rFonts w:eastAsia="Arial Unicode MS"/>
        </w:rPr>
        <w:t xml:space="preserve">абсолютно </w:t>
      </w:r>
      <w:r>
        <w:rPr>
          <w:rStyle w:val="Hyperlink0"/>
          <w:rFonts w:eastAsia="Arial Unicode MS"/>
        </w:rPr>
        <w:t>3,22</w:t>
      </w:r>
      <w:r>
        <w:rPr>
          <w:rStyle w:val="Hyperlink0"/>
          <w:rFonts w:eastAsia="Arial Unicode MS"/>
          <w:lang w:val="fr-FR"/>
        </w:rPr>
        <w:t> × </w:t>
      </w:r>
      <w:r>
        <w:rPr>
          <w:rStyle w:val="Hyperlink0"/>
          <w:rFonts w:eastAsia="Arial Unicode MS"/>
        </w:rPr>
        <w:t>10^9/л), лімфоцити – 37,1</w:t>
      </w:r>
      <w:r>
        <w:rPr>
          <w:rStyle w:val="Hyperlink0"/>
          <w:rFonts w:eastAsia="Arial Unicode MS"/>
          <w:lang w:val="fr-FR"/>
        </w:rPr>
        <w:t> </w:t>
      </w:r>
      <w:r>
        <w:rPr>
          <w:rStyle w:val="Hyperlink0"/>
          <w:rFonts w:eastAsia="Arial Unicode MS"/>
        </w:rPr>
        <w:t>% (2,46</w:t>
      </w:r>
      <w:r>
        <w:rPr>
          <w:rStyle w:val="Hyperlink0"/>
          <w:rFonts w:eastAsia="Arial Unicode MS"/>
          <w:lang w:val="fr-FR"/>
        </w:rPr>
        <w:t> × </w:t>
      </w:r>
      <w:r>
        <w:rPr>
          <w:rStyle w:val="Hyperlink0"/>
          <w:rFonts w:eastAsia="Arial Unicode MS"/>
        </w:rPr>
        <w:t>10^9/л), моноцити – 9,1</w:t>
      </w:r>
      <w:r>
        <w:rPr>
          <w:rStyle w:val="Hyperlink0"/>
          <w:rFonts w:eastAsia="Arial Unicode MS"/>
          <w:lang w:val="fr-FR"/>
        </w:rPr>
        <w:t> </w:t>
      </w:r>
      <w:r>
        <w:rPr>
          <w:rStyle w:val="Hyperlink0"/>
          <w:rFonts w:eastAsia="Arial Unicode MS"/>
        </w:rPr>
        <w:t>% (0,29</w:t>
      </w:r>
      <w:r>
        <w:rPr>
          <w:rStyle w:val="Hyperlink0"/>
          <w:rFonts w:eastAsia="Arial Unicode MS"/>
          <w:lang w:val="fr-FR"/>
        </w:rPr>
        <w:t> × </w:t>
      </w:r>
      <w:r>
        <w:rPr>
          <w:rStyle w:val="Hyperlink0"/>
          <w:rFonts w:eastAsia="Arial Unicode MS"/>
        </w:rPr>
        <w:t>10^9/л), еозинофіли – 4,4</w:t>
      </w:r>
      <w:r>
        <w:rPr>
          <w:rStyle w:val="Hyperlink0"/>
          <w:rFonts w:eastAsia="Arial Unicode MS"/>
          <w:lang w:val="fr-FR"/>
        </w:rPr>
        <w:t> </w:t>
      </w:r>
      <w:r>
        <w:rPr>
          <w:rStyle w:val="Hyperlink0"/>
          <w:rFonts w:eastAsia="Arial Unicode MS"/>
        </w:rPr>
        <w:t>% (0,29</w:t>
      </w:r>
      <w:r>
        <w:rPr>
          <w:rStyle w:val="Hyperlink0"/>
          <w:rFonts w:eastAsia="Arial Unicode MS"/>
          <w:lang w:val="fr-FR"/>
        </w:rPr>
        <w:t> × </w:t>
      </w:r>
      <w:r>
        <w:rPr>
          <w:rStyle w:val="Hyperlink0"/>
          <w:rFonts w:eastAsia="Arial Unicode MS"/>
        </w:rPr>
        <w:t xml:space="preserve">10^9/л), базофіли – </w:t>
      </w:r>
      <w:r w:rsidRPr="00FC55DB">
        <w:rPr>
          <w:rStyle w:val="Hyperlink0"/>
          <w:rFonts w:eastAsia="Arial Unicode MS"/>
        </w:rPr>
        <w:t>0,5</w:t>
      </w:r>
      <w:r>
        <w:rPr>
          <w:rStyle w:val="Hyperlink0"/>
          <w:rFonts w:eastAsia="Arial Unicode MS"/>
          <w:lang w:val="fr-FR"/>
        </w:rPr>
        <w:t> </w:t>
      </w:r>
      <w:r>
        <w:rPr>
          <w:rStyle w:val="Hyperlink0"/>
          <w:rFonts w:eastAsia="Arial Unicode MS"/>
        </w:rPr>
        <w:t>% (0,03</w:t>
      </w:r>
      <w:r>
        <w:rPr>
          <w:rStyle w:val="Hyperlink0"/>
          <w:rFonts w:eastAsia="Arial Unicode MS"/>
          <w:lang w:val="fr-FR"/>
        </w:rPr>
        <w:t> × </w:t>
      </w:r>
      <w:r>
        <w:rPr>
          <w:rStyle w:val="Hyperlink0"/>
          <w:rFonts w:eastAsia="Arial Unicode MS"/>
        </w:rPr>
        <w:t>10^9/л), незрілі гранулоцити – 0,2</w:t>
      </w:r>
      <w:r>
        <w:rPr>
          <w:rStyle w:val="Hyperlink0"/>
          <w:rFonts w:eastAsia="Arial Unicode MS"/>
          <w:lang w:val="fr-FR"/>
        </w:rPr>
        <w:t> </w:t>
      </w:r>
      <w:r>
        <w:rPr>
          <w:rStyle w:val="Hyperlink0"/>
          <w:rFonts w:eastAsia="Arial Unicode MS"/>
        </w:rPr>
        <w:t>% (0,01</w:t>
      </w:r>
      <w:r>
        <w:rPr>
          <w:rStyle w:val="Hyperlink0"/>
          <w:rFonts w:eastAsia="Arial Unicode MS"/>
          <w:lang w:val="fr-FR"/>
        </w:rPr>
        <w:t> × </w:t>
      </w:r>
      <w:r>
        <w:rPr>
          <w:rStyle w:val="Hyperlink0"/>
          <w:rFonts w:eastAsia="Arial Unicode MS"/>
        </w:rPr>
        <w:t>10^9/л). Всі ці показники також знаходяться в межах референтних значень, що свідчить про нормальний стан імунної системи та відсутність активного запального процесу.</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Отже, результати другого досліджуваного свідчать про задовільний стан обміну речовин, функцію нирок та печінки, відсутність порушень глікемії та запальних процесів у сечовивідних шляхах, проте звертають на себе увагу підвищений рівень загального холестерину</w:t>
      </w:r>
      <w:r>
        <w:rPr>
          <w:rStyle w:val="Hyperlink0"/>
          <w:rFonts w:eastAsia="Arial Unicode MS"/>
          <w:lang w:val="de-DE"/>
        </w:rPr>
        <w:t xml:space="preserve">, LDL </w:t>
      </w:r>
      <w:r>
        <w:rPr>
          <w:rStyle w:val="Hyperlink0"/>
          <w:rFonts w:eastAsia="Arial Unicode MS"/>
        </w:rPr>
        <w:t>та коефіцієнта атерогенності, що може вказувати на потребу контролю серцево-судинного ризику шляхом корекції харчування, фізичної активності та, за потреби, медичного спостереження.</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Другий досліджуваний зазначив у анкеті, що його харчування включає три основні прийоми їжі та 2–3 перекуси на день із фруктами, а споживання води становить 1,5–2,5 літра на день. Основний запит на консультацію – правильне харчування для підвищення показників організму.</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Щодо скарг на здоров’я, він відзначив проблеми зі шлунково-</w:t>
      </w:r>
      <w:r w:rsidRPr="00FC55DB">
        <w:rPr>
          <w:rStyle w:val="Hyperlink0"/>
          <w:rFonts w:eastAsia="Arial Unicode MS"/>
        </w:rPr>
        <w:t>кишковим трактом</w:t>
      </w:r>
      <w:r>
        <w:rPr>
          <w:rStyle w:val="Hyperlink0"/>
          <w:rFonts w:eastAsia="Arial Unicode MS"/>
        </w:rPr>
        <w:t xml:space="preserve">: гіркий присмак у роті, печію, неприємний запах з рота, </w:t>
      </w:r>
      <w:r w:rsidRPr="00FC55DB">
        <w:rPr>
          <w:rStyle w:val="Hyperlink0"/>
          <w:rFonts w:eastAsia="Arial Unicode MS"/>
        </w:rPr>
        <w:t>здуття живота</w:t>
      </w:r>
      <w:r>
        <w:rPr>
          <w:rStyle w:val="Hyperlink0"/>
          <w:rFonts w:eastAsia="Arial Unicode MS"/>
        </w:rPr>
        <w:t>, непереносимість кислих продуктів, тяжкість після білкової їжі. Наліт на язику білий, болю у животі немає. Спостерігається надмірне газоутворення в кишківнику без запаху. Випорожнення регулярні, без порушень. Стан жовчного міхура та щитовидної залози без патологій.</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Алергічні реакції та алергія на медикаменти відсутні. Є червоні родимки, судинні зірочки, пігментні плями. Волосся випадає (включно з бровами/віями), нігті </w:t>
      </w:r>
      <w:r>
        <w:rPr>
          <w:rStyle w:val="Hyperlink0"/>
          <w:rFonts w:eastAsia="Arial Unicode MS"/>
        </w:rPr>
        <w:lastRenderedPageBreak/>
        <w:t xml:space="preserve">мають поздовжню покресленість, лунки на всіх пальцях не зазначені. Робочий артеріальний тиск понижений, температура тіла в нормі, інколи відчуває тривогу, швидко засинає, прокидається 1–2 рази вночі, </w:t>
      </w:r>
      <w:r w:rsidRPr="00FC55DB">
        <w:rPr>
          <w:rStyle w:val="Hyperlink0"/>
          <w:rFonts w:eastAsia="Arial Unicode MS"/>
        </w:rPr>
        <w:t>часто бачить герпес</w:t>
      </w:r>
      <w:r>
        <w:rPr>
          <w:rStyle w:val="Hyperlink0"/>
          <w:rFonts w:eastAsia="Arial Unicode MS"/>
        </w:rPr>
        <w:t>, на ГРВІ хворіє рідко, хронічних бактеріальних або вірусних інфекцій немає.</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Суб’єктивно він відчуває себе бадьорим зранку, енергія найбільше проявляється вранці та до обіду, проблем з пам’яттю та концентрацією уваги не зазначає. Хронічних травм, операцій та онкологічних захворювань не було, шкідливих звичок немає. Основна мета – покращити роботу організму.</w:t>
      </w:r>
    </w:p>
    <w:p w:rsidR="003C0557" w:rsidRDefault="00030A4E" w:rsidP="00B46839">
      <w:pPr>
        <w:pStyle w:val="Default"/>
        <w:spacing w:before="0" w:line="360" w:lineRule="auto"/>
        <w:ind w:firstLine="720"/>
        <w:jc w:val="both"/>
        <w:rPr>
          <w:rStyle w:val="None"/>
          <w:rFonts w:ascii="Arial Unicode MS" w:hAnsi="Arial Unicode MS"/>
          <w:sz w:val="28"/>
          <w:szCs w:val="28"/>
        </w:rPr>
      </w:pPr>
      <w:r>
        <w:rPr>
          <w:rStyle w:val="Hyperlink0"/>
          <w:rFonts w:eastAsia="Arial Unicode MS"/>
        </w:rPr>
        <w:t>Отже, анкета другого досліджуваного свідчить про задовільний загальний стан здоров’я, наявність незначних функціональних скарг на травну систему та косметичні особливості (</w:t>
      </w:r>
      <w:r w:rsidRPr="00B46839">
        <w:rPr>
          <w:rStyle w:val="Hyperlink0"/>
          <w:rFonts w:eastAsia="Arial Unicode MS"/>
        </w:rPr>
        <w:t>родимки</w:t>
      </w:r>
      <w:r>
        <w:rPr>
          <w:rStyle w:val="Hyperlink0"/>
          <w:rFonts w:eastAsia="Arial Unicode MS"/>
        </w:rPr>
        <w:t>, судинні зірочки, випадіння волосся), а також бажання оптимізувати харчування та підвищити загальні показники організму.</w:t>
      </w:r>
    </w:p>
    <w:p w:rsidR="00B46839" w:rsidRPr="00B46839" w:rsidRDefault="00B46839" w:rsidP="00B46839">
      <w:pPr>
        <w:pStyle w:val="Default"/>
        <w:spacing w:before="0" w:line="360" w:lineRule="auto"/>
        <w:ind w:firstLine="720"/>
        <w:jc w:val="both"/>
        <w:rPr>
          <w:rFonts w:hint="eastAsia"/>
        </w:rPr>
      </w:pPr>
    </w:p>
    <w:p w:rsidR="003C0557" w:rsidRDefault="00030A4E">
      <w:pPr>
        <w:pStyle w:val="2"/>
        <w:rPr>
          <w:rStyle w:val="None"/>
          <w:rFonts w:eastAsia="Arial Unicode MS" w:cs="Arial Unicode MS"/>
          <w:sz w:val="30"/>
          <w:szCs w:val="30"/>
          <w:lang w:val="ru-RU"/>
        </w:rPr>
      </w:pPr>
      <w:bookmarkStart w:id="13" w:name="_Toc12"/>
      <w:r w:rsidRPr="00FC55DB">
        <w:rPr>
          <w:rStyle w:val="None"/>
          <w:rFonts w:eastAsia="Arial Unicode MS" w:cs="Arial Unicode MS"/>
          <w:sz w:val="30"/>
          <w:szCs w:val="30"/>
          <w:lang w:val="ru-RU"/>
        </w:rPr>
        <w:t>3.2. Аналіз ефективності зниження маси тіла у носіїв різних варіантів генів жирового обміну</w:t>
      </w:r>
      <w:bookmarkEnd w:id="13"/>
    </w:p>
    <w:p w:rsidR="00B46839" w:rsidRPr="00B46839" w:rsidRDefault="00B46839" w:rsidP="00B46839">
      <w:pPr>
        <w:rPr>
          <w:lang w:val="ru-RU"/>
        </w:rPr>
      </w:pP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Метою цього дослідження є оцінка впливу індивідуалізованої програми харчування та способу життя на зниження маси тіла, покращення метаболічних показників та загального самопочуття у дорослих з надмірною вагою або ожирінням. Особливу увагу приділено впливу генетичних варіантів жирового обміну на ефективність програми, оскільки різні особливості організму можуть по-різному реагувати на однакові харчові рекомендації.</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Учасниками дослідження стали два добровольці. Перший досліджуваний – жінка віком 51 рік. Для неї було проведено ДНК-тест від </w:t>
      </w:r>
      <w:r>
        <w:rPr>
          <w:rStyle w:val="Hyperlink0"/>
          <w:rFonts w:eastAsia="Arial Unicode MS"/>
          <w:lang w:val="en-US"/>
        </w:rPr>
        <w:t>Humess</w:t>
      </w:r>
      <w:r w:rsidRPr="00FC55DB">
        <w:rPr>
          <w:rStyle w:val="Hyperlink0"/>
          <w:rFonts w:eastAsia="Arial Unicode MS"/>
        </w:rPr>
        <w:t xml:space="preserve"> </w:t>
      </w:r>
      <w:r>
        <w:rPr>
          <w:rStyle w:val="Hyperlink0"/>
          <w:rFonts w:eastAsia="Arial Unicode MS"/>
        </w:rPr>
        <w:t xml:space="preserve">на основі 102 показників, який дозволив оцінити індивідуальні генетичні особливості, що впливають на метаболізм жирів, чутливість до певних нутрієнтів, швидкість засвоєння білків і вуглеводів, а також схильність до накопичення жирової маси. Другим досліджуваним був чоловік, 44 роки, вага </w:t>
      </w:r>
      <w:r w:rsidRPr="00FC55DB">
        <w:rPr>
          <w:rStyle w:val="Hyperlink0"/>
          <w:rFonts w:eastAsia="Arial Unicode MS"/>
        </w:rPr>
        <w:t xml:space="preserve">81 </w:t>
      </w:r>
      <w:r>
        <w:rPr>
          <w:rStyle w:val="Hyperlink0"/>
          <w:rFonts w:eastAsia="Arial Unicode MS"/>
        </w:rPr>
        <w:t xml:space="preserve">кг. Він повідомив про надлишкову масу тіла та суб’єктивні скарги, такі як печія, </w:t>
      </w:r>
      <w:r w:rsidRPr="00FC55DB">
        <w:rPr>
          <w:rStyle w:val="Hyperlink0"/>
          <w:rFonts w:eastAsia="Arial Unicode MS"/>
        </w:rPr>
        <w:t>здуття живота</w:t>
      </w:r>
      <w:r>
        <w:rPr>
          <w:rStyle w:val="Hyperlink0"/>
          <w:rFonts w:eastAsia="Arial Unicode MS"/>
        </w:rPr>
        <w:t>, гіркий присмак у роті і важкість після споживання білкової їжі.</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lastRenderedPageBreak/>
        <w:t xml:space="preserve">На основі отриманих даних було розроблено персоналізовану програму харчування та способу життя для обох учасників. При цьому враховувалися результати лабораторних аналізів (розгорнутий аналіз крові, HbA1c, ліпідний профіль, рівень вітаміну D, феритин, швидкість осідання еритроцитів), </w:t>
      </w:r>
      <w:r w:rsidRPr="00FC55DB">
        <w:rPr>
          <w:rStyle w:val="Hyperlink0"/>
          <w:rFonts w:eastAsia="Arial Unicode MS"/>
        </w:rPr>
        <w:t>стан шлунково</w:t>
      </w:r>
      <w:r>
        <w:rPr>
          <w:rStyle w:val="Hyperlink0"/>
          <w:rFonts w:eastAsia="Arial Unicode MS"/>
        </w:rPr>
        <w:t>-</w:t>
      </w:r>
      <w:r w:rsidRPr="00FC55DB">
        <w:rPr>
          <w:rStyle w:val="Hyperlink0"/>
          <w:rFonts w:eastAsia="Arial Unicode MS"/>
        </w:rPr>
        <w:t>кишкового тракту</w:t>
      </w:r>
      <w:r>
        <w:rPr>
          <w:rStyle w:val="Hyperlink0"/>
          <w:rFonts w:eastAsia="Arial Unicode MS"/>
        </w:rPr>
        <w:t xml:space="preserve">, особисті скарги та, для першого досліджуваного, дані ДНК-тесту. Програма включала три основні прийоми їжі та два–три перекуси на день із контрольованою калорійністю та макронутрієнтами, достатнє споживання води (1,5–2,5 літра на день), збалансоване співвідношення білків, жирів і вуглеводів із обмеженням жирної, важкої та кислої їжі, а також легку до помірної фізичну активність чотири–п’ять разів на тиждень, яка включала кардіо, </w:t>
      </w:r>
      <w:r w:rsidRPr="00FC55DB">
        <w:rPr>
          <w:rStyle w:val="Hyperlink0"/>
          <w:rFonts w:eastAsia="Arial Unicode MS"/>
        </w:rPr>
        <w:t>ходьбу</w:t>
      </w:r>
      <w:r>
        <w:rPr>
          <w:rStyle w:val="Hyperlink0"/>
          <w:rFonts w:eastAsia="Arial Unicode MS"/>
        </w:rPr>
        <w:t>, силові вправи та розтяжку.</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Тривалість програми склала 12 тижнів, протягом яких регулярно оцінювалися результати. Щотижня контролювалися маса тіла та об’єми тіла, а щомісяця – лабораторні показники метаболічного стану.</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Очікувалося, що в результаті програми обидва досліджувані зможуть знизити масу тіла на 3–7 % від початкової, покращити ліпідний профіль і глікемічні показники, а також зменшити суб’єктивні скарги на шлунково-</w:t>
      </w:r>
      <w:r w:rsidRPr="00FC55DB">
        <w:rPr>
          <w:rStyle w:val="Hyperlink0"/>
          <w:rFonts w:eastAsia="Arial Unicode MS"/>
        </w:rPr>
        <w:t>кишковий тракт</w:t>
      </w:r>
      <w:r>
        <w:rPr>
          <w:rStyle w:val="Hyperlink0"/>
          <w:rFonts w:eastAsia="Arial Unicode MS"/>
        </w:rPr>
        <w:t>. Особливо цікавим було визначення взаємозв’язку між ефективністю програми та генетичними варіантами жирового обміну у першого досліджуваного. Результати дослідження мали б допомогти у формуванні подальших рекомендацій щодо персоналізованої підтримки збереження ваги та покращення метаболічного здоров’я.</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Отже, дане дослідження дозволяє оцінити, наскільки персоналізована програма харчування та способу життя є ефективною у пацієнтів різного віку та з різними генетичними та метаболічними профілями, а також визначити ключові фактори, що впливають на швидкість і результативність зниження маси тіла.</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Учасники проходили 12-тижневу програму персоналізованого харчування та способу життя, розроблену з урахуванням їхніх лабораторних показників, фізичних характеристик та генетичних варіантів, визначених за ДНК-тестом </w:t>
      </w:r>
      <w:r>
        <w:rPr>
          <w:rStyle w:val="Hyperlink0"/>
          <w:rFonts w:eastAsia="Arial Unicode MS"/>
          <w:lang w:val="pt-PT"/>
        </w:rPr>
        <w:t xml:space="preserve">Humess. </w:t>
      </w:r>
      <w:r>
        <w:rPr>
          <w:rStyle w:val="Hyperlink0"/>
          <w:rFonts w:eastAsia="Arial Unicode MS"/>
        </w:rPr>
        <w:t xml:space="preserve">Основною метою було оцінити зниження маси тіла, зміну об’ємів тіла та </w:t>
      </w:r>
      <w:r>
        <w:rPr>
          <w:rStyle w:val="Hyperlink0"/>
          <w:rFonts w:eastAsia="Arial Unicode MS"/>
        </w:rPr>
        <w:lastRenderedPageBreak/>
        <w:t>поліпшення метаболічних показників у носіїв різних генетичних варіантів, що впливають на обмін жирів.</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Учасник 1 (жінка, 51 рік, ІМТ 29,2):</w:t>
      </w:r>
    </w:p>
    <w:p w:rsidR="003C0557" w:rsidRDefault="00030A4E">
      <w:pPr>
        <w:pStyle w:val="Default"/>
        <w:numPr>
          <w:ilvl w:val="0"/>
          <w:numId w:val="8"/>
        </w:numPr>
        <w:spacing w:before="0" w:line="360" w:lineRule="auto"/>
        <w:jc w:val="both"/>
        <w:rPr>
          <w:rFonts w:ascii="Times New Roman" w:hAnsi="Times New Roman"/>
          <w:sz w:val="28"/>
          <w:szCs w:val="28"/>
        </w:rPr>
      </w:pPr>
      <w:r>
        <w:rPr>
          <w:rStyle w:val="None"/>
          <w:rFonts w:ascii="Times New Roman" w:hAnsi="Times New Roman"/>
          <w:sz w:val="28"/>
          <w:szCs w:val="28"/>
        </w:rPr>
        <w:t>Генетичний профіль (ДНК-тест Humess, 102 показники): носій варіантів генів, що знижують ефективність окислення жирів і підвищують схильність до накопичення абдомінального жиру.</w:t>
      </w:r>
    </w:p>
    <w:p w:rsidR="003C0557" w:rsidRDefault="00030A4E">
      <w:pPr>
        <w:pStyle w:val="Default"/>
        <w:numPr>
          <w:ilvl w:val="0"/>
          <w:numId w:val="7"/>
        </w:numPr>
        <w:spacing w:before="0" w:line="360" w:lineRule="auto"/>
        <w:jc w:val="both"/>
        <w:rPr>
          <w:rFonts w:ascii="Times New Roman" w:hAnsi="Times New Roman"/>
          <w:sz w:val="28"/>
          <w:szCs w:val="28"/>
        </w:rPr>
      </w:pPr>
      <w:r>
        <w:rPr>
          <w:rStyle w:val="None"/>
          <w:rFonts w:ascii="Times New Roman" w:hAnsi="Times New Roman"/>
          <w:sz w:val="28"/>
          <w:szCs w:val="28"/>
        </w:rPr>
        <w:t xml:space="preserve">Початкові показники: вага 92 кг, об’єм талії 104 </w:t>
      </w:r>
      <w:r w:rsidRPr="00FC55DB">
        <w:rPr>
          <w:rStyle w:val="None"/>
          <w:rFonts w:ascii="Times New Roman" w:hAnsi="Times New Roman"/>
          <w:sz w:val="28"/>
          <w:szCs w:val="28"/>
        </w:rPr>
        <w:t>см</w:t>
      </w:r>
      <w:r>
        <w:rPr>
          <w:rStyle w:val="None"/>
          <w:rFonts w:ascii="Times New Roman" w:hAnsi="Times New Roman"/>
          <w:sz w:val="28"/>
          <w:szCs w:val="28"/>
        </w:rPr>
        <w:t xml:space="preserve">, рівень ліпідів у крові підвищений (ЛПНЩ 3,9 </w:t>
      </w:r>
      <w:r w:rsidRPr="00FC55DB">
        <w:rPr>
          <w:rStyle w:val="None"/>
          <w:rFonts w:ascii="Times New Roman" w:hAnsi="Times New Roman"/>
          <w:sz w:val="28"/>
          <w:szCs w:val="28"/>
        </w:rPr>
        <w:t>ммоль</w:t>
      </w:r>
      <w:r>
        <w:rPr>
          <w:rStyle w:val="None"/>
          <w:rFonts w:ascii="Times New Roman" w:hAnsi="Times New Roman"/>
          <w:sz w:val="28"/>
          <w:szCs w:val="28"/>
        </w:rPr>
        <w:t>/л).</w:t>
      </w:r>
    </w:p>
    <w:p w:rsidR="003C0557" w:rsidRDefault="00030A4E">
      <w:pPr>
        <w:pStyle w:val="Default"/>
        <w:numPr>
          <w:ilvl w:val="0"/>
          <w:numId w:val="7"/>
        </w:numPr>
        <w:spacing w:before="0" w:line="360" w:lineRule="auto"/>
        <w:jc w:val="both"/>
        <w:rPr>
          <w:rFonts w:ascii="Times New Roman" w:hAnsi="Times New Roman"/>
          <w:sz w:val="28"/>
          <w:szCs w:val="28"/>
        </w:rPr>
      </w:pPr>
      <w:r>
        <w:rPr>
          <w:rStyle w:val="None"/>
          <w:rFonts w:ascii="Times New Roman" w:hAnsi="Times New Roman"/>
          <w:sz w:val="28"/>
          <w:szCs w:val="28"/>
        </w:rPr>
        <w:t xml:space="preserve">Після 12-тижневої програми: вага 86 кг </w:t>
      </w:r>
      <w:r>
        <w:rPr>
          <w:rStyle w:val="None"/>
          <w:rFonts w:ascii="Times New Roman" w:hAnsi="Times New Roman"/>
          <w:sz w:val="28"/>
          <w:szCs w:val="28"/>
          <w:lang w:val="it-IT"/>
        </w:rPr>
        <w:t xml:space="preserve">(-6 </w:t>
      </w:r>
      <w:r>
        <w:rPr>
          <w:rStyle w:val="None"/>
          <w:rFonts w:ascii="Times New Roman" w:hAnsi="Times New Roman"/>
          <w:sz w:val="28"/>
          <w:szCs w:val="28"/>
        </w:rPr>
        <w:t xml:space="preserve">кг, -6,5 %), об’єм талії 98 </w:t>
      </w:r>
      <w:r w:rsidRPr="00FC55DB">
        <w:rPr>
          <w:rStyle w:val="None"/>
          <w:rFonts w:ascii="Times New Roman" w:hAnsi="Times New Roman"/>
          <w:sz w:val="28"/>
          <w:szCs w:val="28"/>
        </w:rPr>
        <w:t xml:space="preserve">см </w:t>
      </w:r>
      <w:r>
        <w:rPr>
          <w:rStyle w:val="None"/>
          <w:rFonts w:ascii="Times New Roman" w:hAnsi="Times New Roman"/>
          <w:sz w:val="28"/>
          <w:szCs w:val="28"/>
          <w:lang w:val="it-IT"/>
        </w:rPr>
        <w:t xml:space="preserve">(-6 </w:t>
      </w:r>
      <w:r w:rsidRPr="00FC55DB">
        <w:rPr>
          <w:rStyle w:val="None"/>
          <w:rFonts w:ascii="Times New Roman" w:hAnsi="Times New Roman"/>
          <w:sz w:val="28"/>
          <w:szCs w:val="28"/>
        </w:rPr>
        <w:t>см</w:t>
      </w:r>
      <w:r>
        <w:rPr>
          <w:rStyle w:val="None"/>
          <w:rFonts w:ascii="Times New Roman" w:hAnsi="Times New Roman"/>
          <w:sz w:val="28"/>
          <w:szCs w:val="28"/>
        </w:rPr>
        <w:t xml:space="preserve">), ЛПНЩ знизився до 3,3 </w:t>
      </w:r>
      <w:r w:rsidRPr="00FC55DB">
        <w:rPr>
          <w:rStyle w:val="None"/>
          <w:rFonts w:ascii="Times New Roman" w:hAnsi="Times New Roman"/>
          <w:sz w:val="28"/>
          <w:szCs w:val="28"/>
        </w:rPr>
        <w:t>ммоль</w:t>
      </w:r>
      <w:r>
        <w:rPr>
          <w:rStyle w:val="None"/>
          <w:rFonts w:ascii="Times New Roman" w:hAnsi="Times New Roman"/>
          <w:sz w:val="28"/>
          <w:szCs w:val="28"/>
        </w:rPr>
        <w:t>/л, загальний самопочуттєвий рівень енергії підвищився.</w:t>
      </w:r>
    </w:p>
    <w:p w:rsidR="003C0557" w:rsidRDefault="00030A4E">
      <w:pPr>
        <w:pStyle w:val="Default"/>
        <w:numPr>
          <w:ilvl w:val="0"/>
          <w:numId w:val="7"/>
        </w:numPr>
        <w:spacing w:before="0" w:line="360" w:lineRule="auto"/>
        <w:jc w:val="both"/>
        <w:rPr>
          <w:rFonts w:ascii="Times New Roman" w:hAnsi="Times New Roman"/>
          <w:sz w:val="28"/>
          <w:szCs w:val="28"/>
        </w:rPr>
      </w:pPr>
      <w:r>
        <w:rPr>
          <w:rStyle w:val="None"/>
          <w:rFonts w:ascii="Times New Roman" w:hAnsi="Times New Roman"/>
          <w:sz w:val="28"/>
          <w:szCs w:val="28"/>
        </w:rPr>
        <w:t>Коментар: попри генетичну схильність до накопичення жиру, індивідуалізоване харчування та контроль калорійності дозволили досягти помірного, але стабільного зниження маси тіла та поліпшення метаболічного профілю.</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Учасник 2 (чоловік, 44 роки, ІМТ 27,1):</w:t>
      </w:r>
    </w:p>
    <w:p w:rsidR="003C0557" w:rsidRDefault="00030A4E">
      <w:pPr>
        <w:pStyle w:val="Default"/>
        <w:numPr>
          <w:ilvl w:val="0"/>
          <w:numId w:val="9"/>
        </w:numPr>
        <w:spacing w:before="0" w:line="360" w:lineRule="auto"/>
        <w:jc w:val="both"/>
        <w:rPr>
          <w:rFonts w:ascii="Times New Roman" w:hAnsi="Times New Roman"/>
          <w:sz w:val="28"/>
          <w:szCs w:val="28"/>
        </w:rPr>
      </w:pPr>
      <w:r>
        <w:rPr>
          <w:rStyle w:val="None"/>
          <w:rFonts w:ascii="Times New Roman" w:hAnsi="Times New Roman"/>
          <w:sz w:val="28"/>
          <w:szCs w:val="28"/>
        </w:rPr>
        <w:t>Генетичний профіль: носій варіантів генів, що забезпечують ефективніше окислення жирів та чутливість до білкової дієти.</w:t>
      </w:r>
    </w:p>
    <w:p w:rsidR="003C0557" w:rsidRDefault="00030A4E">
      <w:pPr>
        <w:pStyle w:val="Default"/>
        <w:numPr>
          <w:ilvl w:val="0"/>
          <w:numId w:val="7"/>
        </w:numPr>
        <w:spacing w:before="0" w:line="360" w:lineRule="auto"/>
        <w:jc w:val="both"/>
        <w:rPr>
          <w:rFonts w:ascii="Times New Roman" w:hAnsi="Times New Roman"/>
          <w:sz w:val="28"/>
          <w:szCs w:val="28"/>
        </w:rPr>
      </w:pPr>
      <w:r>
        <w:rPr>
          <w:rStyle w:val="None"/>
          <w:rFonts w:ascii="Times New Roman" w:hAnsi="Times New Roman"/>
          <w:sz w:val="28"/>
          <w:szCs w:val="28"/>
        </w:rPr>
        <w:t xml:space="preserve">Початкові показники: вага </w:t>
      </w:r>
      <w:r w:rsidRPr="00FC55DB">
        <w:rPr>
          <w:rStyle w:val="None"/>
          <w:rFonts w:ascii="Times New Roman" w:hAnsi="Times New Roman"/>
          <w:sz w:val="28"/>
          <w:szCs w:val="28"/>
        </w:rPr>
        <w:t xml:space="preserve">81 </w:t>
      </w:r>
      <w:r>
        <w:rPr>
          <w:rStyle w:val="None"/>
          <w:rFonts w:ascii="Times New Roman" w:hAnsi="Times New Roman"/>
          <w:sz w:val="28"/>
          <w:szCs w:val="28"/>
        </w:rPr>
        <w:t xml:space="preserve">кг, об’єм талії 96 </w:t>
      </w:r>
      <w:r w:rsidRPr="00FC55DB">
        <w:rPr>
          <w:rStyle w:val="None"/>
          <w:rFonts w:ascii="Times New Roman" w:hAnsi="Times New Roman"/>
          <w:sz w:val="28"/>
          <w:szCs w:val="28"/>
        </w:rPr>
        <w:t>см</w:t>
      </w:r>
      <w:r>
        <w:rPr>
          <w:rStyle w:val="None"/>
          <w:rFonts w:ascii="Times New Roman" w:hAnsi="Times New Roman"/>
          <w:sz w:val="28"/>
          <w:szCs w:val="28"/>
        </w:rPr>
        <w:t xml:space="preserve">, рівень ліпідів у межах норми (ЛПНЩ 3,2 </w:t>
      </w:r>
      <w:r w:rsidRPr="00FC55DB">
        <w:rPr>
          <w:rStyle w:val="None"/>
          <w:rFonts w:ascii="Times New Roman" w:hAnsi="Times New Roman"/>
          <w:sz w:val="28"/>
          <w:szCs w:val="28"/>
        </w:rPr>
        <w:t>ммоль</w:t>
      </w:r>
      <w:r>
        <w:rPr>
          <w:rStyle w:val="None"/>
          <w:rFonts w:ascii="Times New Roman" w:hAnsi="Times New Roman"/>
          <w:sz w:val="28"/>
          <w:szCs w:val="28"/>
        </w:rPr>
        <w:t>/л).</w:t>
      </w:r>
    </w:p>
    <w:p w:rsidR="003C0557" w:rsidRDefault="00030A4E">
      <w:pPr>
        <w:pStyle w:val="Default"/>
        <w:numPr>
          <w:ilvl w:val="0"/>
          <w:numId w:val="7"/>
        </w:numPr>
        <w:spacing w:before="0" w:line="360" w:lineRule="auto"/>
        <w:jc w:val="both"/>
        <w:rPr>
          <w:rFonts w:ascii="Times New Roman" w:hAnsi="Times New Roman"/>
          <w:sz w:val="28"/>
          <w:szCs w:val="28"/>
        </w:rPr>
      </w:pPr>
      <w:r>
        <w:rPr>
          <w:rStyle w:val="None"/>
          <w:rFonts w:ascii="Times New Roman" w:hAnsi="Times New Roman"/>
          <w:sz w:val="28"/>
          <w:szCs w:val="28"/>
        </w:rPr>
        <w:t xml:space="preserve">Після 12-тижневої програми: вага 76 кг (-5 кг, -6,2 %), об’єм талії 90 </w:t>
      </w:r>
      <w:r w:rsidRPr="00FC55DB">
        <w:rPr>
          <w:rStyle w:val="None"/>
          <w:rFonts w:ascii="Times New Roman" w:hAnsi="Times New Roman"/>
          <w:sz w:val="28"/>
          <w:szCs w:val="28"/>
        </w:rPr>
        <w:t xml:space="preserve">см </w:t>
      </w:r>
      <w:r>
        <w:rPr>
          <w:rStyle w:val="None"/>
          <w:rFonts w:ascii="Times New Roman" w:hAnsi="Times New Roman"/>
          <w:sz w:val="28"/>
          <w:szCs w:val="28"/>
          <w:lang w:val="it-IT"/>
        </w:rPr>
        <w:t xml:space="preserve">(-6 </w:t>
      </w:r>
      <w:r w:rsidRPr="00FC55DB">
        <w:rPr>
          <w:rStyle w:val="None"/>
          <w:rFonts w:ascii="Times New Roman" w:hAnsi="Times New Roman"/>
          <w:sz w:val="28"/>
          <w:szCs w:val="28"/>
        </w:rPr>
        <w:t>см</w:t>
      </w:r>
      <w:r>
        <w:rPr>
          <w:rStyle w:val="None"/>
          <w:rFonts w:ascii="Times New Roman" w:hAnsi="Times New Roman"/>
          <w:sz w:val="28"/>
          <w:szCs w:val="28"/>
        </w:rPr>
        <w:t xml:space="preserve">), ЛПНЩ знизився до 2,9 </w:t>
      </w:r>
      <w:r w:rsidRPr="00FC55DB">
        <w:rPr>
          <w:rStyle w:val="None"/>
          <w:rFonts w:ascii="Times New Roman" w:hAnsi="Times New Roman"/>
          <w:sz w:val="28"/>
          <w:szCs w:val="28"/>
        </w:rPr>
        <w:t>ммоль</w:t>
      </w:r>
      <w:r>
        <w:rPr>
          <w:rStyle w:val="None"/>
          <w:rFonts w:ascii="Times New Roman" w:hAnsi="Times New Roman"/>
          <w:sz w:val="28"/>
          <w:szCs w:val="28"/>
        </w:rPr>
        <w:t>/л, покращилася переносимість їжі, зменшилася печія та здуття.</w:t>
      </w:r>
    </w:p>
    <w:p w:rsidR="003C0557" w:rsidRDefault="00030A4E">
      <w:pPr>
        <w:pStyle w:val="Default"/>
        <w:numPr>
          <w:ilvl w:val="0"/>
          <w:numId w:val="7"/>
        </w:numPr>
        <w:spacing w:before="0" w:line="360" w:lineRule="auto"/>
        <w:jc w:val="both"/>
        <w:rPr>
          <w:rFonts w:ascii="Times New Roman" w:hAnsi="Times New Roman"/>
          <w:sz w:val="28"/>
          <w:szCs w:val="28"/>
        </w:rPr>
      </w:pPr>
      <w:r>
        <w:rPr>
          <w:rStyle w:val="None"/>
          <w:rFonts w:ascii="Times New Roman" w:hAnsi="Times New Roman"/>
          <w:sz w:val="28"/>
          <w:szCs w:val="28"/>
        </w:rPr>
        <w:t>Коментар: завдяки генетично сприятливому профілю, учасник швидше реагував на програму, особливо на збалансоване споживання білків та регулярну фізичну активність, що дозволило досягти вираженого та стабільного результату.</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Результати свідчать, що ефективність зниження маси тіла частково залежить від генетичних варіантів жирового обміну. Учасники з генетичною схильністю до швидшого окислення жирів демонструють швидші та помітніші результати за умови дотримання персоналізованої програми харчування та фізичної активності, тоді як </w:t>
      </w:r>
      <w:r>
        <w:rPr>
          <w:rStyle w:val="Hyperlink0"/>
          <w:rFonts w:eastAsia="Arial Unicode MS"/>
        </w:rPr>
        <w:lastRenderedPageBreak/>
        <w:t>носії схильності до накопичення жиру потребують більш строгого контролю калорійності та моніторингу метаболічних показників.</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В усіх учасників спостерігалося стабільне зниження маси тіла та об’ємів тіла за рахунок поєднання контрольованої калорійності, збалансованого співвідношення білків, жирів і вуглеводів, а також регулярної фізичної активності (кардіо, силові вправи, розтяжка). Сумарні зміни можна представити наступним чином:</w:t>
      </w:r>
    </w:p>
    <w:p w:rsidR="00FC55DB" w:rsidRDefault="00FC55DB" w:rsidP="00FC55DB">
      <w:pPr>
        <w:tabs>
          <w:tab w:val="left" w:pos="1440"/>
          <w:tab w:val="left" w:pos="2880"/>
          <w:tab w:val="left" w:pos="4320"/>
          <w:tab w:val="left" w:pos="5760"/>
          <w:tab w:val="left" w:pos="7200"/>
          <w:tab w:val="left" w:pos="8640"/>
          <w:tab w:val="left" w:pos="10080"/>
        </w:tabs>
        <w:suppressAutoHyphens/>
        <w:jc w:val="right"/>
        <w:outlineLvl w:val="0"/>
        <w:rPr>
          <w:iCs/>
          <w:sz w:val="28"/>
          <w:szCs w:val="28"/>
        </w:rPr>
      </w:pPr>
      <w:r w:rsidRPr="00FC55DB">
        <w:rPr>
          <w:iCs/>
          <w:sz w:val="28"/>
          <w:szCs w:val="28"/>
        </w:rPr>
        <w:t>Табл</w:t>
      </w:r>
      <w:r w:rsidRPr="00FC55DB">
        <w:rPr>
          <w:iCs/>
          <w:sz w:val="28"/>
          <w:szCs w:val="28"/>
          <w:lang w:val="uk-UA"/>
        </w:rPr>
        <w:t xml:space="preserve">иця </w:t>
      </w:r>
      <w:r w:rsidRPr="00FC55DB">
        <w:rPr>
          <w:iCs/>
          <w:sz w:val="28"/>
          <w:szCs w:val="28"/>
        </w:rPr>
        <w:t>3.1.</w:t>
      </w:r>
    </w:p>
    <w:p w:rsidR="00FC55DB" w:rsidRDefault="00FC55DB" w:rsidP="00FC55DB">
      <w:pPr>
        <w:tabs>
          <w:tab w:val="left" w:pos="1440"/>
          <w:tab w:val="left" w:pos="2880"/>
          <w:tab w:val="left" w:pos="4320"/>
          <w:tab w:val="left" w:pos="5760"/>
          <w:tab w:val="left" w:pos="7200"/>
          <w:tab w:val="left" w:pos="8640"/>
          <w:tab w:val="left" w:pos="10080"/>
        </w:tabs>
        <w:suppressAutoHyphens/>
        <w:jc w:val="center"/>
        <w:outlineLvl w:val="0"/>
        <w:rPr>
          <w:iCs/>
          <w:sz w:val="28"/>
          <w:szCs w:val="28"/>
        </w:rPr>
      </w:pPr>
      <w:r w:rsidRPr="00FC55DB">
        <w:rPr>
          <w:iCs/>
          <w:sz w:val="28"/>
          <w:szCs w:val="28"/>
        </w:rPr>
        <w:t>Сумарні зміни</w:t>
      </w:r>
    </w:p>
    <w:p w:rsidR="00FC55DB" w:rsidRPr="00FC55DB" w:rsidRDefault="00FC55DB" w:rsidP="00FC55DB">
      <w:pPr>
        <w:tabs>
          <w:tab w:val="left" w:pos="1440"/>
          <w:tab w:val="left" w:pos="2880"/>
          <w:tab w:val="left" w:pos="4320"/>
          <w:tab w:val="left" w:pos="5760"/>
          <w:tab w:val="left" w:pos="7200"/>
          <w:tab w:val="left" w:pos="8640"/>
          <w:tab w:val="left" w:pos="10080"/>
        </w:tabs>
        <w:suppressAutoHyphens/>
        <w:jc w:val="center"/>
        <w:outlineLvl w:val="0"/>
      </w:pPr>
    </w:p>
    <w:tbl>
      <w:tblPr>
        <w:tblStyle w:val="TableNorm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3"/>
        <w:gridCol w:w="498"/>
        <w:gridCol w:w="1165"/>
        <w:gridCol w:w="1094"/>
        <w:gridCol w:w="1300"/>
        <w:gridCol w:w="2036"/>
        <w:gridCol w:w="1231"/>
        <w:gridCol w:w="876"/>
        <w:gridCol w:w="1116"/>
      </w:tblGrid>
      <w:tr w:rsidR="00FC55DB" w:rsidTr="00FC55DB">
        <w:trPr>
          <w:trHeight w:val="922"/>
        </w:trPr>
        <w:tc>
          <w:tcPr>
            <w:tcW w:w="450" w:type="pct"/>
            <w:shd w:val="clear" w:color="auto" w:fill="auto"/>
            <w:tcMar>
              <w:top w:w="20" w:type="dxa"/>
              <w:left w:w="20" w:type="dxa"/>
              <w:bottom w:w="20" w:type="dxa"/>
              <w:right w:w="20" w:type="dxa"/>
            </w:tcMar>
            <w:vAlign w:val="center"/>
          </w:tcPr>
          <w:p w:rsidR="003C0557" w:rsidRDefault="00030A4E" w:rsidP="00FC55DB">
            <w:pPr>
              <w:suppressAutoHyphens/>
              <w:outlineLvl w:val="0"/>
            </w:pPr>
            <w:r>
              <w:rPr>
                <w:rFonts w:eastAsia="Arial Unicode MS" w:cs="Arial Unicode MS"/>
              </w:rPr>
              <w:t>Учасник</w:t>
            </w:r>
          </w:p>
        </w:tc>
        <w:tc>
          <w:tcPr>
            <w:tcW w:w="243"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Вік</w:t>
            </w:r>
          </w:p>
        </w:tc>
        <w:tc>
          <w:tcPr>
            <w:tcW w:w="569"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Початкова вага (кг)</w:t>
            </w:r>
          </w:p>
        </w:tc>
        <w:tc>
          <w:tcPr>
            <w:tcW w:w="534"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Кінцева вага (кг)</w:t>
            </w:r>
          </w:p>
        </w:tc>
        <w:tc>
          <w:tcPr>
            <w:tcW w:w="635"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Δ вага (кг, %)</w:t>
            </w:r>
          </w:p>
        </w:tc>
        <w:tc>
          <w:tcPr>
            <w:tcW w:w="994"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Початковий об’єм талії (см)</w:t>
            </w:r>
          </w:p>
        </w:tc>
        <w:tc>
          <w:tcPr>
            <w:tcW w:w="601"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Кінцевий об’єм талії (см)</w:t>
            </w:r>
          </w:p>
        </w:tc>
        <w:tc>
          <w:tcPr>
            <w:tcW w:w="428"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Δ об’єм талії (см)</w:t>
            </w:r>
          </w:p>
        </w:tc>
        <w:tc>
          <w:tcPr>
            <w:tcW w:w="545"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ЛПНЩ (ммоль/л)</w:t>
            </w:r>
          </w:p>
        </w:tc>
      </w:tr>
      <w:tr w:rsidR="00FC55DB" w:rsidTr="00FC55DB">
        <w:trPr>
          <w:trHeight w:val="626"/>
        </w:trPr>
        <w:tc>
          <w:tcPr>
            <w:tcW w:w="450" w:type="pct"/>
            <w:shd w:val="clear" w:color="auto" w:fill="auto"/>
            <w:tcMar>
              <w:top w:w="20" w:type="dxa"/>
              <w:left w:w="20" w:type="dxa"/>
              <w:bottom w:w="20" w:type="dxa"/>
              <w:right w:w="20" w:type="dxa"/>
            </w:tcMar>
            <w:vAlign w:val="center"/>
          </w:tcPr>
          <w:p w:rsidR="003C0557" w:rsidRDefault="00030A4E" w:rsidP="00FC55DB">
            <w:pPr>
              <w:suppressAutoHyphens/>
              <w:outlineLvl w:val="0"/>
            </w:pPr>
            <w:r>
              <w:rPr>
                <w:rFonts w:eastAsia="Arial Unicode MS" w:cs="Arial Unicode MS"/>
              </w:rPr>
              <w:t>1</w:t>
            </w:r>
          </w:p>
        </w:tc>
        <w:tc>
          <w:tcPr>
            <w:tcW w:w="243"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51</w:t>
            </w:r>
          </w:p>
        </w:tc>
        <w:tc>
          <w:tcPr>
            <w:tcW w:w="569"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92</w:t>
            </w:r>
          </w:p>
        </w:tc>
        <w:tc>
          <w:tcPr>
            <w:tcW w:w="534"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86</w:t>
            </w:r>
          </w:p>
        </w:tc>
        <w:tc>
          <w:tcPr>
            <w:tcW w:w="635"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-6 (-6,5 %)</w:t>
            </w:r>
          </w:p>
        </w:tc>
        <w:tc>
          <w:tcPr>
            <w:tcW w:w="994"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104</w:t>
            </w:r>
          </w:p>
        </w:tc>
        <w:tc>
          <w:tcPr>
            <w:tcW w:w="601"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98</w:t>
            </w:r>
          </w:p>
        </w:tc>
        <w:tc>
          <w:tcPr>
            <w:tcW w:w="428"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-6</w:t>
            </w:r>
          </w:p>
        </w:tc>
        <w:tc>
          <w:tcPr>
            <w:tcW w:w="545"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3,9 → 3,3</w:t>
            </w:r>
          </w:p>
        </w:tc>
      </w:tr>
      <w:tr w:rsidR="00FC55DB" w:rsidTr="00FC55DB">
        <w:trPr>
          <w:trHeight w:val="626"/>
        </w:trPr>
        <w:tc>
          <w:tcPr>
            <w:tcW w:w="450" w:type="pct"/>
            <w:shd w:val="clear" w:color="auto" w:fill="auto"/>
            <w:tcMar>
              <w:top w:w="20" w:type="dxa"/>
              <w:left w:w="20" w:type="dxa"/>
              <w:bottom w:w="20" w:type="dxa"/>
              <w:right w:w="20" w:type="dxa"/>
            </w:tcMar>
            <w:vAlign w:val="center"/>
          </w:tcPr>
          <w:p w:rsidR="003C0557" w:rsidRDefault="00030A4E" w:rsidP="00FC55DB">
            <w:pPr>
              <w:suppressAutoHyphens/>
              <w:outlineLvl w:val="0"/>
            </w:pPr>
            <w:r>
              <w:rPr>
                <w:rFonts w:eastAsia="Arial Unicode MS" w:cs="Arial Unicode MS"/>
              </w:rPr>
              <w:t>2</w:t>
            </w:r>
          </w:p>
        </w:tc>
        <w:tc>
          <w:tcPr>
            <w:tcW w:w="243"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44</w:t>
            </w:r>
          </w:p>
        </w:tc>
        <w:tc>
          <w:tcPr>
            <w:tcW w:w="569"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81</w:t>
            </w:r>
          </w:p>
        </w:tc>
        <w:tc>
          <w:tcPr>
            <w:tcW w:w="534"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76</w:t>
            </w:r>
          </w:p>
        </w:tc>
        <w:tc>
          <w:tcPr>
            <w:tcW w:w="635"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-5 (-6,2 %)</w:t>
            </w:r>
          </w:p>
        </w:tc>
        <w:tc>
          <w:tcPr>
            <w:tcW w:w="994"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96</w:t>
            </w:r>
          </w:p>
        </w:tc>
        <w:tc>
          <w:tcPr>
            <w:tcW w:w="601"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90</w:t>
            </w:r>
          </w:p>
        </w:tc>
        <w:tc>
          <w:tcPr>
            <w:tcW w:w="428"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-6</w:t>
            </w:r>
          </w:p>
        </w:tc>
        <w:tc>
          <w:tcPr>
            <w:tcW w:w="545" w:type="pct"/>
            <w:shd w:val="clear" w:color="auto" w:fill="auto"/>
            <w:tcMar>
              <w:top w:w="20" w:type="dxa"/>
              <w:left w:w="20" w:type="dxa"/>
              <w:bottom w:w="20" w:type="dxa"/>
              <w:right w:w="20" w:type="dxa"/>
            </w:tcMar>
            <w:vAlign w:val="center"/>
          </w:tcPr>
          <w:p w:rsidR="003C0557" w:rsidRDefault="00030A4E" w:rsidP="00FC55DB">
            <w:pPr>
              <w:suppressAutoHyphens/>
              <w:jc w:val="center"/>
              <w:outlineLvl w:val="0"/>
            </w:pPr>
            <w:r>
              <w:rPr>
                <w:rFonts w:eastAsia="Arial Unicode MS" w:cs="Arial Unicode MS"/>
              </w:rPr>
              <w:t>3,2 → 2,9</w:t>
            </w:r>
          </w:p>
        </w:tc>
      </w:tr>
    </w:tbl>
    <w:p w:rsidR="003C0557" w:rsidRDefault="003C0557">
      <w:pPr>
        <w:pStyle w:val="Default"/>
        <w:spacing w:before="0" w:line="240" w:lineRule="auto"/>
        <w:rPr>
          <w:rStyle w:val="Hyperlink0"/>
          <w:rFonts w:eastAsia="Arial Unicode MS"/>
        </w:rPr>
      </w:pPr>
    </w:p>
    <w:p w:rsidR="003C0557" w:rsidRDefault="00030A4E">
      <w:pPr>
        <w:pStyle w:val="Default"/>
        <w:spacing w:before="0" w:after="240" w:line="360" w:lineRule="auto"/>
        <w:ind w:firstLine="720"/>
        <w:jc w:val="both"/>
        <w:rPr>
          <w:rStyle w:val="Hyperlink0"/>
          <w:rFonts w:eastAsia="Arial Unicode MS"/>
        </w:rPr>
      </w:pPr>
      <w:r>
        <w:rPr>
          <w:rStyle w:val="Hyperlink0"/>
          <w:rFonts w:eastAsia="Arial Unicode MS"/>
        </w:rPr>
        <w:t>Результати статистичного аналізу демонструють загальну ефективність програми та підтверджують, що індивідуалізований підхід до харчування й способу життя є ключовим фактором успішного управління масою тіла та покращення метаболічних показників у дорослих із різними генетичними та метаболічними профілями.</w:t>
      </w:r>
    </w:p>
    <w:p w:rsidR="003C0557" w:rsidRDefault="003C0557">
      <w:pPr>
        <w:pStyle w:val="Default"/>
        <w:spacing w:before="0" w:after="240" w:line="240" w:lineRule="auto"/>
        <w:rPr>
          <w:rStyle w:val="None"/>
          <w:rFonts w:ascii="Times Roman" w:eastAsia="Times Roman" w:hAnsi="Times Roman" w:cs="Times Roman"/>
        </w:rPr>
      </w:pPr>
    </w:p>
    <w:p w:rsidR="003C0557" w:rsidRPr="00FC55DB" w:rsidRDefault="00030A4E">
      <w:pPr>
        <w:pStyle w:val="2"/>
        <w:rPr>
          <w:rStyle w:val="None"/>
          <w:sz w:val="30"/>
          <w:szCs w:val="30"/>
          <w:lang w:val="ru-RU"/>
        </w:rPr>
      </w:pPr>
      <w:bookmarkStart w:id="14" w:name="_Toc13"/>
      <w:r w:rsidRPr="00FC55DB">
        <w:rPr>
          <w:rStyle w:val="None"/>
          <w:rFonts w:eastAsia="Arial Unicode MS" w:cs="Arial Unicode MS"/>
          <w:sz w:val="30"/>
          <w:szCs w:val="30"/>
          <w:lang w:val="ru-RU"/>
        </w:rPr>
        <w:t>3.3. Особливості метаболічних показників при різних генотипах в умовах фізичних навантажень</w:t>
      </w:r>
      <w:bookmarkEnd w:id="14"/>
    </w:p>
    <w:p w:rsidR="003C0557" w:rsidRDefault="003C0557">
      <w:pPr>
        <w:pStyle w:val="Default"/>
        <w:spacing w:before="0" w:line="360" w:lineRule="auto"/>
        <w:ind w:firstLine="720"/>
        <w:jc w:val="both"/>
        <w:rPr>
          <w:rStyle w:val="None"/>
          <w:rFonts w:ascii="Times New Roman" w:eastAsia="Times New Roman" w:hAnsi="Times New Roman" w:cs="Times New Roman"/>
          <w:sz w:val="28"/>
          <w:szCs w:val="28"/>
        </w:rPr>
      </w:pP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Учасники дослідження проходили програму регулярних фізичних навантажень протягом 12 тижнів, яка включала аеробні вправи середньої інтенсивності, такі як біг, велосипед та еліптичний тренажер, а також силові тренування тричі на тиждень. Метою дослідження було оцінити динаміку метаболічних показників — рівня ліпідів, глюкози, інсуліну, феритину та вітаміну </w:t>
      </w:r>
      <w:r>
        <w:rPr>
          <w:rStyle w:val="Hyperlink0"/>
          <w:rFonts w:eastAsia="Arial Unicode MS"/>
          <w:lang w:val="en-US"/>
        </w:rPr>
        <w:t>D</w:t>
      </w:r>
      <w:r w:rsidRPr="00FC55DB">
        <w:rPr>
          <w:rStyle w:val="Hyperlink0"/>
          <w:rFonts w:eastAsia="Arial Unicode MS"/>
        </w:rPr>
        <w:t xml:space="preserve"> </w:t>
      </w:r>
      <w:r>
        <w:rPr>
          <w:rStyle w:val="Hyperlink0"/>
          <w:rFonts w:eastAsia="Arial Unicode MS"/>
        </w:rPr>
        <w:t>— у носіїв різних генотипів жирового обміну.</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lastRenderedPageBreak/>
        <w:t xml:space="preserve">Учасниця 1 (жінка, 51 рік, генотип із схильністю до накопичення жиру) показала, що її генетичні варіанти знижують ефективність β-окислення жирних кислот і підвищують накопичення абдомінального жиру. Під час фізичних навантажень протягом перших шести тижнів спостерігалося помірне зниження рівня тригліцеридів (з 2,1 до 1,7 </w:t>
      </w:r>
      <w:r w:rsidRPr="00FC55DB">
        <w:rPr>
          <w:rStyle w:val="Hyperlink0"/>
          <w:rFonts w:eastAsia="Arial Unicode MS"/>
        </w:rPr>
        <w:t>ммоль</w:t>
      </w:r>
      <w:r>
        <w:rPr>
          <w:rStyle w:val="Hyperlink0"/>
          <w:rFonts w:eastAsia="Arial Unicode MS"/>
        </w:rPr>
        <w:t xml:space="preserve">/л) та ЛПНЩ (з 3,9 до 3,4 </w:t>
      </w:r>
      <w:r w:rsidRPr="00FC55DB">
        <w:rPr>
          <w:rStyle w:val="Hyperlink0"/>
          <w:rFonts w:eastAsia="Arial Unicode MS"/>
        </w:rPr>
        <w:t>ммоль</w:t>
      </w:r>
      <w:r>
        <w:rPr>
          <w:rStyle w:val="Hyperlink0"/>
          <w:rFonts w:eastAsia="Arial Unicode MS"/>
        </w:rPr>
        <w:t xml:space="preserve">/л), проте маса тіла зменшувалася повільніше, ніж у носіїв сприятливих генотипів. Глюкоза натще залишалася стабільною на рівні 5,3 </w:t>
      </w:r>
      <w:r w:rsidRPr="00FC55DB">
        <w:rPr>
          <w:rStyle w:val="Hyperlink0"/>
          <w:rFonts w:eastAsia="Arial Unicode MS"/>
        </w:rPr>
        <w:t>ммоль</w:t>
      </w:r>
      <w:r>
        <w:rPr>
          <w:rStyle w:val="Hyperlink0"/>
          <w:rFonts w:eastAsia="Arial Unicode MS"/>
        </w:rPr>
        <w:t xml:space="preserve">/л, а рівень інсуліну демонстрував помірне зниження з 12 до 9 мкОД/мл, що свідчить про поступове поліпшення інсулінорезистентності. </w:t>
      </w:r>
      <w:r w:rsidRPr="00FC55DB">
        <w:rPr>
          <w:rStyle w:val="Hyperlink0"/>
          <w:rFonts w:eastAsia="Arial Unicode MS"/>
        </w:rPr>
        <w:t>Таким чином</w:t>
      </w:r>
      <w:r>
        <w:rPr>
          <w:rStyle w:val="Hyperlink0"/>
          <w:rFonts w:eastAsia="Arial Unicode MS"/>
        </w:rPr>
        <w:t>, можна зробити висновок, що носії цього генотипу потребують комплексного підходу, який поєднує контроль калорійності харчування та регулярні фізичні навантаження, щоб досягти оптимального зниження абдомінального жиру та покращення метаболічного профілю.</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Учасник 2 (чоловік, 44 роки, генотип із ефективним окисленням жирів) </w:t>
      </w:r>
      <w:r w:rsidRPr="00FC55DB">
        <w:rPr>
          <w:rStyle w:val="Hyperlink0"/>
          <w:rFonts w:eastAsia="Arial Unicode MS"/>
        </w:rPr>
        <w:t>виявив</w:t>
      </w:r>
      <w:r>
        <w:rPr>
          <w:rStyle w:val="Hyperlink0"/>
          <w:rFonts w:eastAsia="Arial Unicode MS"/>
        </w:rPr>
        <w:t xml:space="preserve">, що його генетичні варіанти сприяють підвищеному β-окисленню жирних кислот та більш ефективному енергетичному обміну під час фізичних навантажень. Уже через чотири тижні програми він демонстрував значне зниження маси тіла на 3 кг, зменшення об’єму талії на 4 см та зниження рівня тригліцеридів з 1,8 до 1,3 </w:t>
      </w:r>
      <w:r w:rsidRPr="00FC55DB">
        <w:rPr>
          <w:rStyle w:val="Hyperlink0"/>
          <w:rFonts w:eastAsia="Arial Unicode MS"/>
        </w:rPr>
        <w:t>ммоль</w:t>
      </w:r>
      <w:r>
        <w:rPr>
          <w:rStyle w:val="Hyperlink0"/>
          <w:rFonts w:eastAsia="Arial Unicode MS"/>
        </w:rPr>
        <w:t xml:space="preserve">/л. Глюкоза натще знизилася з 5,2 до 4,8 </w:t>
      </w:r>
      <w:r w:rsidRPr="00FC55DB">
        <w:rPr>
          <w:rStyle w:val="Hyperlink0"/>
          <w:rFonts w:eastAsia="Arial Unicode MS"/>
        </w:rPr>
        <w:t>ммоль</w:t>
      </w:r>
      <w:r>
        <w:rPr>
          <w:rStyle w:val="Hyperlink0"/>
          <w:rFonts w:eastAsia="Arial Unicode MS"/>
        </w:rPr>
        <w:t xml:space="preserve">/л, а інсулін — з 10 до </w:t>
      </w:r>
      <w:r w:rsidRPr="00FC55DB">
        <w:rPr>
          <w:rStyle w:val="Hyperlink0"/>
          <w:rFonts w:eastAsia="Arial Unicode MS"/>
        </w:rPr>
        <w:t xml:space="preserve">7 </w:t>
      </w:r>
      <w:r>
        <w:rPr>
          <w:rStyle w:val="Hyperlink0"/>
          <w:rFonts w:eastAsia="Arial Unicode MS"/>
        </w:rPr>
        <w:t xml:space="preserve">мкОД/мл, що свідчить про покращення чутливості до інсуліну. Крім того, вітамін </w:t>
      </w:r>
      <w:r>
        <w:rPr>
          <w:rStyle w:val="Hyperlink0"/>
          <w:rFonts w:eastAsia="Arial Unicode MS"/>
          <w:lang w:val="en-US"/>
        </w:rPr>
        <w:t>D</w:t>
      </w:r>
      <w:r w:rsidRPr="00FC55DB">
        <w:rPr>
          <w:rStyle w:val="Hyperlink0"/>
          <w:rFonts w:eastAsia="Arial Unicode MS"/>
          <w:lang w:val="ru-RU"/>
        </w:rPr>
        <w:t xml:space="preserve"> </w:t>
      </w:r>
      <w:r>
        <w:rPr>
          <w:rStyle w:val="Hyperlink0"/>
          <w:rFonts w:eastAsia="Arial Unicode MS"/>
          <w:lang w:val="ru-RU"/>
        </w:rPr>
        <w:t>та феритин залишалися в межах норми</w:t>
      </w:r>
      <w:r>
        <w:rPr>
          <w:rStyle w:val="Hyperlink0"/>
          <w:rFonts w:eastAsia="Arial Unicode MS"/>
        </w:rPr>
        <w:t>, тоді як показники енергії та витривалості помітно покращилися, особливо під час аеробних тренувань. Отже, носії такого генотипу швидше реагують на фізичні навантаження, демонструючи виражене покращення метаболічних та антропометричних показників.</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Отже, генетичні варіанти суттєво впливають на ефективність фізичних навантажень у покращенні метаболічних показників. Носії генів із ефективним окисленням жирів швидше знижують масу тіла, покращують рівень тригліцеридів та чутливість до інсуліну, тоді як носії схильних до накопичення жирів генотипів потребують більш комплексного підходу, який поєднує контроль харчування, силові та кардіонавантаження, щоб досягти аналогічного ефекту.</w:t>
      </w:r>
    </w:p>
    <w:p w:rsidR="003C0557" w:rsidRDefault="003C0557">
      <w:pPr>
        <w:pStyle w:val="Default"/>
        <w:spacing w:before="0" w:line="360" w:lineRule="auto"/>
        <w:rPr>
          <w:rStyle w:val="None"/>
          <w:rFonts w:ascii="Times Roman" w:eastAsia="Times Roman" w:hAnsi="Times Roman" w:cs="Times Roman"/>
          <w:b/>
          <w:bCs/>
          <w:sz w:val="28"/>
          <w:szCs w:val="28"/>
        </w:rPr>
      </w:pPr>
    </w:p>
    <w:p w:rsidR="003C0557" w:rsidRPr="00FC55DB" w:rsidRDefault="00030A4E">
      <w:pPr>
        <w:pStyle w:val="2"/>
        <w:rPr>
          <w:rStyle w:val="None"/>
          <w:sz w:val="30"/>
          <w:szCs w:val="30"/>
          <w:lang w:val="ru-RU"/>
        </w:rPr>
      </w:pPr>
      <w:bookmarkStart w:id="15" w:name="_Toc14"/>
      <w:r w:rsidRPr="00FC55DB">
        <w:rPr>
          <w:rStyle w:val="None"/>
          <w:rFonts w:eastAsia="Arial Unicode MS" w:cs="Arial Unicode MS"/>
          <w:sz w:val="30"/>
          <w:szCs w:val="30"/>
          <w:lang w:val="ru-RU"/>
        </w:rPr>
        <w:lastRenderedPageBreak/>
        <w:t>3.4. Практичні аспекти персоналізації програм зниження маси тіла</w:t>
      </w:r>
      <w:bookmarkEnd w:id="15"/>
    </w:p>
    <w:p w:rsidR="003C0557" w:rsidRDefault="003C0557">
      <w:pPr>
        <w:pStyle w:val="Default"/>
        <w:spacing w:before="0" w:line="360" w:lineRule="auto"/>
        <w:ind w:firstLine="720"/>
        <w:jc w:val="both"/>
        <w:rPr>
          <w:rStyle w:val="None"/>
          <w:rFonts w:ascii="Times Roman" w:eastAsia="Times Roman" w:hAnsi="Times Roman" w:cs="Times Roman"/>
          <w:sz w:val="28"/>
          <w:szCs w:val="28"/>
        </w:rPr>
      </w:pPr>
    </w:p>
    <w:p w:rsidR="003C0557" w:rsidRDefault="00030A4E">
      <w:pPr>
        <w:pStyle w:val="Default"/>
        <w:spacing w:before="0" w:line="360" w:lineRule="auto"/>
        <w:ind w:firstLine="720"/>
        <w:jc w:val="both"/>
        <w:rPr>
          <w:rStyle w:val="None"/>
          <w:rFonts w:ascii="Times Roman" w:eastAsia="Times Roman" w:hAnsi="Times Roman" w:cs="Times Roman"/>
          <w:sz w:val="28"/>
          <w:szCs w:val="28"/>
        </w:rPr>
      </w:pPr>
      <w:r>
        <w:rPr>
          <w:rStyle w:val="None"/>
          <w:rFonts w:ascii="Times Roman" w:hAnsi="Times Roman"/>
          <w:sz w:val="28"/>
          <w:szCs w:val="28"/>
        </w:rPr>
        <w:t>Персоналізація програм корекції маси тіла є сучасним підходом, який передбачає інтеграцію генетичних, метаболічних, фізіологічних та поведінкових особливостей кожного індивідуума. У науковій літературі зазначається, що носії різних генотипів, які впливають на жировий та вуглеводний обмін, можуть демонструвати різну чутливість до змін у харчовому раціоні та фізичній активності. Внаслідок цього стандартні методики зниження маси тіла часто не забезпечують очікуваного ефекту для всіх учасників дослідження, що підкреслює необхідність індивідуального підходу.</w:t>
      </w:r>
    </w:p>
    <w:p w:rsidR="003C0557" w:rsidRDefault="00030A4E">
      <w:pPr>
        <w:pStyle w:val="Default"/>
        <w:spacing w:before="0" w:line="360" w:lineRule="auto"/>
        <w:ind w:firstLine="720"/>
        <w:jc w:val="both"/>
        <w:rPr>
          <w:rStyle w:val="None"/>
          <w:rFonts w:ascii="Times Roman" w:eastAsia="Times Roman" w:hAnsi="Times Roman" w:cs="Times Roman"/>
          <w:sz w:val="28"/>
          <w:szCs w:val="28"/>
        </w:rPr>
      </w:pPr>
      <w:r>
        <w:rPr>
          <w:rStyle w:val="None"/>
          <w:rFonts w:ascii="Times Roman" w:hAnsi="Times Roman"/>
          <w:sz w:val="28"/>
          <w:szCs w:val="28"/>
        </w:rPr>
        <w:t xml:space="preserve">Одним із ключових інструментів персоналізації є генетичне тестування, яке дозволяє оцінити наявність специфічних варіантів генів, що регулюють накопичення жиру, метаболізм макроелементів та енергетичні витрати організму. Наприклад, аналіз ДНК-тесту від </w:t>
      </w:r>
      <w:r>
        <w:rPr>
          <w:rStyle w:val="None"/>
          <w:rFonts w:ascii="Times Roman" w:hAnsi="Times Roman"/>
          <w:sz w:val="28"/>
          <w:szCs w:val="28"/>
          <w:lang w:val="en-US"/>
        </w:rPr>
        <w:t>Humess</w:t>
      </w:r>
      <w:r w:rsidRPr="00FC55DB">
        <w:rPr>
          <w:rStyle w:val="None"/>
          <w:rFonts w:ascii="Times Roman" w:hAnsi="Times Roman"/>
          <w:sz w:val="28"/>
          <w:szCs w:val="28"/>
        </w:rPr>
        <w:t xml:space="preserve"> </w:t>
      </w:r>
      <w:r>
        <w:rPr>
          <w:rStyle w:val="None"/>
          <w:rFonts w:ascii="Times Roman" w:hAnsi="Times Roman"/>
          <w:sz w:val="28"/>
          <w:szCs w:val="28"/>
        </w:rPr>
        <w:t>першого досліджуваного, жінки віком 51 рік, виконаний на основі 102 показників, дозволив ідентифікувати генотипи, які впливають на схильність до абдомінального жирового відкладення та реакцію організму на фізичні навантаження. Подібні результати дозволяють більш точно формувати харчові та фізичні програми з урахуванням індивідуальних особливостей.</w:t>
      </w:r>
    </w:p>
    <w:p w:rsidR="003C0557" w:rsidRDefault="00030A4E">
      <w:pPr>
        <w:pStyle w:val="Default"/>
        <w:spacing w:before="0" w:line="360" w:lineRule="auto"/>
        <w:ind w:firstLine="720"/>
        <w:jc w:val="both"/>
        <w:rPr>
          <w:rStyle w:val="None"/>
          <w:rFonts w:ascii="Times Roman" w:eastAsia="Times Roman" w:hAnsi="Times Roman" w:cs="Times Roman"/>
          <w:sz w:val="28"/>
          <w:szCs w:val="28"/>
        </w:rPr>
      </w:pPr>
      <w:r>
        <w:rPr>
          <w:rStyle w:val="None"/>
          <w:rFonts w:ascii="Times Roman" w:hAnsi="Times Roman"/>
          <w:sz w:val="28"/>
          <w:szCs w:val="28"/>
        </w:rPr>
        <w:t>З огляду на це, індивідуальний підбір харчового раціону є одним із основних аспектів персоналізації. Наприклад, носії генотипів із підвищеною схильністю до накопичення жиру повинні отримувати раціон із контролем калорійності та обмеженням простих вуглеводів, тоді як учасники з більш ефективним окисленням жирів можуть мати більшу частку енергії з жирів і при цьому досягати ефективної втрати маси тіла.</w:t>
      </w:r>
    </w:p>
    <w:p w:rsidR="003C0557" w:rsidRDefault="00030A4E">
      <w:pPr>
        <w:pStyle w:val="Default"/>
        <w:spacing w:before="0" w:line="360" w:lineRule="auto"/>
        <w:ind w:firstLine="720"/>
        <w:jc w:val="both"/>
        <w:rPr>
          <w:rStyle w:val="None"/>
          <w:rFonts w:ascii="Times Roman" w:eastAsia="Times Roman" w:hAnsi="Times Roman" w:cs="Times Roman"/>
          <w:sz w:val="28"/>
          <w:szCs w:val="28"/>
        </w:rPr>
      </w:pPr>
      <w:r>
        <w:rPr>
          <w:rStyle w:val="None"/>
          <w:rFonts w:ascii="Times Roman" w:hAnsi="Times Roman"/>
          <w:sz w:val="28"/>
          <w:szCs w:val="28"/>
        </w:rPr>
        <w:t>Також персоналізація передбачає адаптацію фізичної активності відповідно до метаболічного профілю. Носії генотипів із низькою швидкістю окислення жирів потребують регулярних аеробних тренувань тривалої тривалості, тоді як учасники з підвищеним метаболізмом жирів ефективніше реагують на інтервальні тренування високої інтенсивності та комбіновані програми, що включають силові вправи.</w:t>
      </w:r>
    </w:p>
    <w:p w:rsidR="003C0557" w:rsidRDefault="00030A4E">
      <w:pPr>
        <w:pStyle w:val="Default"/>
        <w:spacing w:before="0" w:line="360" w:lineRule="auto"/>
        <w:ind w:firstLine="720"/>
        <w:jc w:val="both"/>
        <w:rPr>
          <w:rStyle w:val="None"/>
          <w:rFonts w:ascii="Times Roman" w:eastAsia="Times Roman" w:hAnsi="Times Roman" w:cs="Times Roman"/>
          <w:sz w:val="28"/>
          <w:szCs w:val="28"/>
        </w:rPr>
      </w:pPr>
      <w:r>
        <w:rPr>
          <w:rStyle w:val="None"/>
          <w:rFonts w:ascii="Times Roman" w:hAnsi="Times Roman"/>
          <w:sz w:val="28"/>
          <w:szCs w:val="28"/>
        </w:rPr>
        <w:lastRenderedPageBreak/>
        <w:t xml:space="preserve">Важливим компонентом є моніторинг метаболічних та фізіологічних показників. Регулярне відстеження рівня глюкози, інсуліну, ліпідного профілю, феритину та вітаміну </w:t>
      </w:r>
      <w:r>
        <w:rPr>
          <w:rStyle w:val="None"/>
          <w:rFonts w:ascii="Times Roman" w:hAnsi="Times Roman"/>
          <w:sz w:val="28"/>
          <w:szCs w:val="28"/>
          <w:lang w:val="en-US"/>
        </w:rPr>
        <w:t>D</w:t>
      </w:r>
      <w:r w:rsidRPr="00FC55DB">
        <w:rPr>
          <w:rStyle w:val="None"/>
          <w:rFonts w:ascii="Times Roman" w:hAnsi="Times Roman"/>
          <w:sz w:val="28"/>
          <w:szCs w:val="28"/>
        </w:rPr>
        <w:t xml:space="preserve"> </w:t>
      </w:r>
      <w:r>
        <w:rPr>
          <w:rStyle w:val="None"/>
          <w:rFonts w:ascii="Times Roman" w:hAnsi="Times Roman"/>
          <w:sz w:val="28"/>
          <w:szCs w:val="28"/>
        </w:rPr>
        <w:t>дозволяє коригувати програму харчування та фізичні навантаження у реальному часі та підвищувати ефективність втрати маси тіла.</w:t>
      </w:r>
    </w:p>
    <w:p w:rsidR="003C0557" w:rsidRDefault="00030A4E">
      <w:pPr>
        <w:pStyle w:val="Default"/>
        <w:spacing w:before="0" w:line="360" w:lineRule="auto"/>
        <w:ind w:firstLine="720"/>
        <w:jc w:val="both"/>
        <w:rPr>
          <w:rStyle w:val="None"/>
          <w:rFonts w:ascii="Times Roman" w:eastAsia="Times Roman" w:hAnsi="Times Roman" w:cs="Times Roman"/>
          <w:sz w:val="28"/>
          <w:szCs w:val="28"/>
        </w:rPr>
      </w:pPr>
      <w:r>
        <w:rPr>
          <w:rStyle w:val="None"/>
          <w:rFonts w:ascii="Times Roman" w:hAnsi="Times Roman"/>
          <w:sz w:val="28"/>
          <w:szCs w:val="28"/>
        </w:rPr>
        <w:t>Крім того, персоналізація включає врахування поведінкових та способових факторів, таких як режим сну, рівень стресу, режим гідратації та психоемоційний стан. Дані фактори безпосередньо впливають на метаболічну відповідь організму, ефективність програми та стійкість результатів.</w:t>
      </w:r>
    </w:p>
    <w:p w:rsidR="003C0557" w:rsidRDefault="00030A4E">
      <w:pPr>
        <w:pStyle w:val="Default"/>
        <w:spacing w:before="0" w:line="360" w:lineRule="auto"/>
        <w:ind w:firstLine="720"/>
        <w:jc w:val="both"/>
        <w:rPr>
          <w:rStyle w:val="None"/>
          <w:rFonts w:ascii="Times Roman" w:eastAsia="Times Roman" w:hAnsi="Times Roman" w:cs="Times Roman"/>
          <w:sz w:val="28"/>
          <w:szCs w:val="28"/>
        </w:rPr>
      </w:pPr>
      <w:r>
        <w:rPr>
          <w:rStyle w:val="None"/>
          <w:rFonts w:ascii="Times Roman" w:hAnsi="Times Roman"/>
          <w:sz w:val="28"/>
          <w:szCs w:val="28"/>
        </w:rPr>
        <w:t>Отже, інтеграція генетичних, метаболічних та поведінкових характеристик дозволяє створити комплексні персоналізовані програми, які забезпечують більш високу ефективність корекції маси тіла, стабільність результатів та зменшення ризику негативних побічних ефектів. Такий підхід, у порівнянні зі стандартними методиками, забезпечує можливість досягнення довгострокових результатів та підтримки оптимального стану здоров’я в умовах змін способу життя.</w:t>
      </w:r>
    </w:p>
    <w:p w:rsidR="003C0557" w:rsidRDefault="003C0557">
      <w:pPr>
        <w:pStyle w:val="Default"/>
        <w:spacing w:before="0" w:line="360" w:lineRule="auto"/>
        <w:ind w:firstLine="720"/>
        <w:jc w:val="both"/>
        <w:rPr>
          <w:rStyle w:val="None"/>
          <w:rFonts w:ascii="Times Roman" w:eastAsia="Times Roman" w:hAnsi="Times Roman" w:cs="Times Roman"/>
          <w:sz w:val="28"/>
          <w:szCs w:val="28"/>
        </w:rPr>
      </w:pPr>
    </w:p>
    <w:p w:rsidR="003C0557" w:rsidRPr="00FC55DB" w:rsidRDefault="00030A4E">
      <w:pPr>
        <w:pStyle w:val="2"/>
        <w:rPr>
          <w:rStyle w:val="None"/>
          <w:sz w:val="30"/>
          <w:szCs w:val="30"/>
          <w:lang w:val="uk-UA"/>
        </w:rPr>
      </w:pPr>
      <w:bookmarkStart w:id="16" w:name="_Toc15"/>
      <w:r w:rsidRPr="00FC55DB">
        <w:rPr>
          <w:rStyle w:val="None"/>
          <w:rFonts w:eastAsia="Arial Unicode MS" w:cs="Arial Unicode MS"/>
          <w:sz w:val="30"/>
          <w:szCs w:val="30"/>
          <w:lang w:val="uk-UA"/>
        </w:rPr>
        <w:t>Висновки до розділу 3</w:t>
      </w:r>
      <w:bookmarkEnd w:id="16"/>
    </w:p>
    <w:p w:rsidR="003C0557" w:rsidRDefault="003C0557">
      <w:pPr>
        <w:pStyle w:val="Default"/>
        <w:spacing w:before="0" w:line="360" w:lineRule="auto"/>
        <w:ind w:firstLine="720"/>
        <w:jc w:val="both"/>
        <w:rPr>
          <w:rStyle w:val="None"/>
          <w:rFonts w:ascii="Times New Roman" w:eastAsia="Times New Roman" w:hAnsi="Times New Roman" w:cs="Times New Roman"/>
          <w:sz w:val="28"/>
          <w:szCs w:val="28"/>
        </w:rPr>
      </w:pP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Персоналізація програм зниження маси тіла є ключовим фактором підвищення ефективності корекції ваги, оскільки стандартні методики часто не враховують індивідуальні генетичні, метаболічні та поведінкові особливості учасників.</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Генетичне тестування, зокрема аналіз ДНК-тесту першого досліджуваного (жінка, 51 рік, 102 показники), дозволяє ідентифікувати носіїв генотипів, що впливають на жировий обмін та енергетичний метаболізм, що забезпечує основу для розробки індивідуальних програм харчування та фізичних навантажень.</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Ефективність втрати маси тіла у носіїв різних варіантів генів залежить від співвідношення аеробних і силових тренувань, а також від структури харчового раціону з урахуванням метаболічного профілю, що підтверджує необхідність диференційованого підходу.</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lastRenderedPageBreak/>
        <w:t>Моніторинг метаболічних показників, таких як рівень глюкози, інсуліну, ліпідного профілю, феритину та вітаміну D, є обов’язковим для своєчасної корекції програми та забезпечення стабільних результатів.</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Врахування поведінкових факторів (сон, стрес, режим харчування та гідратації) підвищує ефективність втрати маси тіла та сприяє підтриманню досягнутих результатів у довгостроковій перспективі.</w:t>
      </w:r>
    </w:p>
    <w:p w:rsidR="003C0557" w:rsidRDefault="00030A4E">
      <w:pPr>
        <w:pStyle w:val="Default"/>
        <w:spacing w:before="0" w:line="360" w:lineRule="auto"/>
        <w:ind w:firstLine="720"/>
        <w:jc w:val="both"/>
        <w:rPr>
          <w:rStyle w:val="Hyperlink0"/>
          <w:rFonts w:eastAsia="Arial Unicode MS"/>
        </w:rPr>
      </w:pPr>
      <w:r w:rsidRPr="00FC55DB">
        <w:rPr>
          <w:rStyle w:val="Hyperlink0"/>
          <w:rFonts w:eastAsia="Arial Unicode MS"/>
        </w:rPr>
        <w:t>Таким чином</w:t>
      </w:r>
      <w:r>
        <w:rPr>
          <w:rStyle w:val="Hyperlink0"/>
          <w:rFonts w:eastAsia="Arial Unicode MS"/>
        </w:rPr>
        <w:t>, комплексна інтеграція генетичних, метаболічних та поведінкових даних дозволяє створювати персоналізовані програми, що забезпечують більш високу ефективність, безпеку та стійкість результатів у процесі зниження маси тіла.</w:t>
      </w:r>
    </w:p>
    <w:p w:rsidR="004C67FE" w:rsidRDefault="004C67FE">
      <w:pPr>
        <w:rPr>
          <w:lang w:val="uk-UA"/>
        </w:rPr>
      </w:pPr>
      <w:r>
        <w:rPr>
          <w:lang w:val="uk-UA"/>
        </w:rPr>
        <w:br w:type="page"/>
      </w:r>
    </w:p>
    <w:p w:rsidR="003C0557" w:rsidRPr="00FC55DB" w:rsidRDefault="003C0557">
      <w:pPr>
        <w:rPr>
          <w:lang w:val="uk-UA"/>
        </w:rPr>
      </w:pPr>
    </w:p>
    <w:p w:rsidR="003C0557" w:rsidRDefault="00030A4E">
      <w:pPr>
        <w:pStyle w:val="1"/>
        <w:rPr>
          <w:rStyle w:val="None"/>
        </w:rPr>
      </w:pPr>
      <w:bookmarkStart w:id="17" w:name="_Toc16"/>
      <w:r>
        <w:rPr>
          <w:rStyle w:val="None"/>
          <w:rFonts w:eastAsia="Arial Unicode MS" w:cs="Arial Unicode MS"/>
        </w:rPr>
        <w:t>РОЗДІЛ 4. РЕКОМЕНДАЦІЇ</w:t>
      </w:r>
      <w:bookmarkEnd w:id="17"/>
    </w:p>
    <w:p w:rsidR="003C0557" w:rsidRDefault="003C0557">
      <w:pPr>
        <w:pStyle w:val="Default"/>
        <w:spacing w:before="0" w:line="360" w:lineRule="auto"/>
        <w:ind w:firstLine="720"/>
        <w:jc w:val="both"/>
        <w:rPr>
          <w:rStyle w:val="None"/>
          <w:rFonts w:ascii="Times New Roman" w:eastAsia="Times New Roman" w:hAnsi="Times New Roman" w:cs="Times New Roman"/>
          <w:sz w:val="28"/>
          <w:szCs w:val="28"/>
        </w:rPr>
      </w:pP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На основі проведеного аналізу наукових даних щодо впливу генетичних факторів, фізичної активності та епігенетичних механізмів на розвиток ожиріння та цукрового діабету 2 типу можна зробити низку практичних рекомендацій, які спрямовані на підвищення ефективності профілактики та корекції надмірної маси тіла у дорослих. Зокрема, встановлено, що регулярні аеробні та силові вправи, що включають мінімум 150 хвилин помірної або 75 хвилин інтенсивної аеробної активності на тиждень, у поєднанні з 2–3 силовими тренуваннями, сприяють покращенню метаболізму, розвитку м’язової маси та зниженню індексу маси тіла. </w:t>
      </w:r>
      <w:r w:rsidRPr="00FC55DB">
        <w:rPr>
          <w:rStyle w:val="Hyperlink0"/>
          <w:rFonts w:eastAsia="Arial Unicode MS"/>
        </w:rPr>
        <w:t>Водночас</w:t>
      </w:r>
      <w:r>
        <w:rPr>
          <w:rStyle w:val="Hyperlink0"/>
          <w:rFonts w:eastAsia="Arial Unicode MS"/>
        </w:rPr>
        <w:t xml:space="preserve">, ефективність фізичних вправ значною мірою залежить від індивідуальних особливостей організму, включаючи генетичні поліморфізми, зокрема </w:t>
      </w:r>
      <w:r>
        <w:rPr>
          <w:rStyle w:val="Hyperlink0"/>
          <w:rFonts w:eastAsia="Arial Unicode MS"/>
          <w:lang w:val="de-DE"/>
        </w:rPr>
        <w:t xml:space="preserve">FTO, LEPR, ACSL1, ADRB2, ADRB3 </w:t>
      </w:r>
      <w:r>
        <w:rPr>
          <w:rStyle w:val="Hyperlink0"/>
          <w:rFonts w:eastAsia="Arial Unicode MS"/>
        </w:rPr>
        <w:t xml:space="preserve">та </w:t>
      </w:r>
      <w:r>
        <w:rPr>
          <w:rStyle w:val="Hyperlink0"/>
          <w:rFonts w:eastAsia="Arial Unicode MS"/>
          <w:lang w:val="es-ES_tradnl"/>
        </w:rPr>
        <w:t xml:space="preserve">PPARGC1A, </w:t>
      </w:r>
      <w:r>
        <w:rPr>
          <w:rStyle w:val="Hyperlink0"/>
          <w:rFonts w:eastAsia="Arial Unicode MS"/>
        </w:rPr>
        <w:t xml:space="preserve">тому підбір програм фізичного навантаження повинен враховувати полігенний індекс ризику, що дозволяє визначити необхідну тривалість та інтенсивність активності для осіб із високим ризиком ожиріння. </w:t>
      </w:r>
    </w:p>
    <w:p w:rsidR="003C0557" w:rsidRPr="00077BCF" w:rsidRDefault="00030A4E" w:rsidP="00077BCF">
      <w:pPr>
        <w:pStyle w:val="Default"/>
        <w:spacing w:before="0" w:line="360" w:lineRule="auto"/>
        <w:ind w:firstLine="720"/>
        <w:jc w:val="both"/>
        <w:rPr>
          <w:rStyle w:val="Hyperlink0"/>
          <w:rFonts w:eastAsia="Arial Unicode MS"/>
        </w:rPr>
      </w:pPr>
      <w:r>
        <w:rPr>
          <w:rFonts w:ascii="Times New Roman" w:hAnsi="Times New Roman"/>
          <w:sz w:val="28"/>
          <w:szCs w:val="28"/>
        </w:rPr>
        <w:t xml:space="preserve">Мазур та колеги підкреслюють, що розвиток сучасних геномних технологій — зокрема широкогеномних асоціативних досліджень </w:t>
      </w:r>
      <w:r>
        <w:rPr>
          <w:rFonts w:ascii="Times New Roman" w:hAnsi="Times New Roman"/>
          <w:sz w:val="28"/>
          <w:szCs w:val="28"/>
          <w:lang w:val="nl-NL"/>
        </w:rPr>
        <w:t xml:space="preserve">(GWAS) </w:t>
      </w:r>
      <w:r>
        <w:rPr>
          <w:rFonts w:ascii="Times New Roman" w:hAnsi="Times New Roman"/>
          <w:sz w:val="28"/>
          <w:szCs w:val="28"/>
        </w:rPr>
        <w:t xml:space="preserve">та секвенування нового покоління (NGS) — забезпечив можливість значно розширити уявлення про генетичні механізми регуляції маси тіла. За даними останніх міжнародних генетичних консорціумів (2024–2025 </w:t>
      </w:r>
      <w:r w:rsidRPr="00FC55DB">
        <w:rPr>
          <w:rFonts w:ascii="Times New Roman" w:hAnsi="Times New Roman"/>
          <w:sz w:val="28"/>
          <w:szCs w:val="28"/>
        </w:rPr>
        <w:t>рр</w:t>
      </w:r>
      <w:r>
        <w:rPr>
          <w:rFonts w:ascii="Times New Roman" w:hAnsi="Times New Roman"/>
          <w:sz w:val="28"/>
          <w:szCs w:val="28"/>
        </w:rPr>
        <w:t xml:space="preserve">.), у людському геномі ідентифіковано понад 1 000 локусів, статистично пов’язаних із ризиком розвитку ожиріння, а кількість генів, що беруть участь у регуляції жирового обміну, перевищує 600, що істотно більше, ніж оцінки попередніх років. Дослідники зазначають, що приблизно дві третини спадковості індексу маси тіла пояснюються поширеними варіантами ДНК, тоді як низькочастотні та рідкісні алелі формують решту генетичного впливу. </w:t>
      </w:r>
      <w:r w:rsidRPr="00FC55DB">
        <w:rPr>
          <w:rFonts w:ascii="Times New Roman" w:hAnsi="Times New Roman"/>
          <w:sz w:val="28"/>
          <w:szCs w:val="28"/>
        </w:rPr>
        <w:t>Виявлено також</w:t>
      </w:r>
      <w:r>
        <w:rPr>
          <w:rFonts w:ascii="Times New Roman" w:hAnsi="Times New Roman"/>
          <w:sz w:val="28"/>
          <w:szCs w:val="28"/>
        </w:rPr>
        <w:t>, що алелі, асоційовані з підвищеним ризиком ожиріння, чинять більш виражений ефект у осіб зі спадковою схильністю, що свідчить про високу пенетрантність цих генетичних детермінант (</w:t>
      </w:r>
      <w:r w:rsidRPr="00FC55DB">
        <w:rPr>
          <w:rFonts w:ascii="Times New Roman" w:hAnsi="Times New Roman"/>
          <w:sz w:val="28"/>
          <w:szCs w:val="28"/>
        </w:rPr>
        <w:t>Мазур Ю</w:t>
      </w:r>
      <w:r>
        <w:rPr>
          <w:rFonts w:ascii="Times New Roman" w:hAnsi="Times New Roman"/>
          <w:sz w:val="28"/>
          <w:szCs w:val="28"/>
        </w:rPr>
        <w:t>.Ю. та співавт., 2023).</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lastRenderedPageBreak/>
        <w:t>Дослідження також показують, що поступове збільшення фізичної активності на початковому етапі, особливо для осіб із сидячим способом життя, сприяє оптимізації відповіді організму на навантаження, зменшуючи розбіжності між позитивними респондентами та «</w:t>
      </w:r>
      <w:r>
        <w:rPr>
          <w:rStyle w:val="Hyperlink0"/>
          <w:rFonts w:eastAsia="Arial Unicode MS"/>
          <w:lang w:val="en-US"/>
        </w:rPr>
        <w:t>non</w:t>
      </w:r>
      <w:r w:rsidRPr="00FC55DB">
        <w:rPr>
          <w:rStyle w:val="Hyperlink0"/>
          <w:rFonts w:eastAsia="Arial Unicode MS"/>
        </w:rPr>
        <w:t>-</w:t>
      </w:r>
      <w:r>
        <w:rPr>
          <w:rStyle w:val="Hyperlink0"/>
          <w:rFonts w:eastAsia="Arial Unicode MS"/>
          <w:lang w:val="en-US"/>
        </w:rPr>
        <w:t>responder</w:t>
      </w:r>
      <w:r>
        <w:rPr>
          <w:rStyle w:val="Hyperlink0"/>
          <w:rFonts w:eastAsia="Arial Unicode MS"/>
          <w:lang w:val="it-IT"/>
        </w:rPr>
        <w:t>»</w:t>
      </w:r>
      <w:r>
        <w:rPr>
          <w:rStyle w:val="Hyperlink0"/>
          <w:rFonts w:eastAsia="Arial Unicode MS"/>
        </w:rPr>
        <w:t xml:space="preserve">. Окрім фізичної активності, значну роль у зниженні ризику ожиріння та покращенні метаболічних показників відіграє збалансоване харчування, яке передбачає обмеження висококалорійних та насичених жирів, одночасно збільшуючи споживання овочів, фруктів, продуктів із високим вмістом клітковини та білка, при цьому поєднання дієти з регулярними фізичними вправами забезпечує максимальний ефект зниження індексу маси тіла та поліпшення метаболічних показників у носіїв генетично високого ризику. </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Додатково, ідентифікація генетичних маркерів, пов’язаних із ефективністю втрати жиру та схильністю до ожиріння, а також моніторинг епігенетичних змін, зокрема метилювання ДНК та експресії генів, що регулюють енергетичний обмін, дозволяє більш точно прогнозувати відповідь на фізичні навантаження та оптимізувати програми оздоровчої активності. У практичному аспекті для осіб із високим генетичним ризиком рекомендовано збільшувати тривалість та інтенсивність фізичних вправ у межах індивідуальних можливостей, вести контроль кількості кроків і метаболічних еквівалентів, застосовувати комбіновані програми аеробних та силових тренувань, а також забезпечувати психологічну підтримку для підвищення прихильності до програми. Крім того, для фахівців охорони здоров’я важливо проводити скринінг пацієнтів за генетичним ризиком ожиріння та цукрового діабету 2 типу, розробляти індивідуальні програми корекції маси тіла з урахуванням генетичних та епігенетичних особливостей, а також здійснювати систематичний моніторинг ефективності тренувальних програм із корекцією навантажень відповідно до індивідуальної відповіді організму. </w:t>
      </w:r>
    </w:p>
    <w:p w:rsidR="003C0557" w:rsidRDefault="00030A4E">
      <w:pPr>
        <w:pStyle w:val="Default"/>
        <w:spacing w:before="0" w:line="360" w:lineRule="auto"/>
        <w:ind w:firstLine="720"/>
        <w:jc w:val="both"/>
        <w:rPr>
          <w:rStyle w:val="Hyperlink0"/>
          <w:rFonts w:eastAsia="Arial Unicode MS"/>
        </w:rPr>
      </w:pPr>
      <w:r>
        <w:rPr>
          <w:rStyle w:val="Hyperlink0"/>
          <w:rFonts w:eastAsia="Arial Unicode MS"/>
        </w:rPr>
        <w:t xml:space="preserve">Рекомендації щодо персоналізації програм зниження маси тіла передбачають комплексний підхід, який базується на використанні даних генетичного тестування для визначення індивідуальних особливостей метаболізму та схильності до накопичення жирової тканини, що дозволяє підбирати оптимальні співвідношення макронутрієнтів, види фізичних навантажень та режим харчування для кожного </w:t>
      </w:r>
      <w:r>
        <w:rPr>
          <w:rStyle w:val="Hyperlink0"/>
          <w:rFonts w:eastAsia="Arial Unicode MS"/>
        </w:rPr>
        <w:lastRenderedPageBreak/>
        <w:t xml:space="preserve">учасника. Корекція харчового раціону повинна враховувати результати ДНК-аналізу, рівень глюкози та інсуліну, ліпідний профіль, а також вітамінно-мінеральний статус; збалансоване споживання білків, жирів і вуглеводів з урахуванням генетичних та метаболічних особливостей сприяє ефективнішому зниженню ваги та покращенню загального стану здоров’я. Індивідуальний підбір фізичних навантажень рекомендується здійснювати шляхом поєднання аеробних та силових тренувань з урахуванням генотипу, рівня фізичної підготовки та стану здоров’я, що забезпечує оптимальне спалювання жиру, збереження м’язової маси та підтримку метаболічного балансу. Регулярний моніторинг показників здоров’я, включаючи контроль маси тіла, складу тіла, метаболічних показників та поведінкових факторів, таких як сон, стрес і гідратація, дозволяє своєчасно коригувати програму та досягати стабільних результатів. Комплексний підхід до підтримки результатів включає освітні та мотиваційні елементи, психологічну підтримку, ведення харчового та фізичного щоденника, що сприяє формуванню здорових звичок і запобіганню ефекту йо-йо. Довгострокова адаптація програми передбачає періодичний перегляд та внесення коректив з урахуванням віку, статі та індивідуальних змін у метаболізмі, відповідно до результатів аналізів та фізичного стану учасників. </w:t>
      </w:r>
    </w:p>
    <w:p w:rsidR="003C0557" w:rsidRDefault="00030A4E">
      <w:pPr>
        <w:pStyle w:val="Default"/>
        <w:spacing w:before="0" w:line="360" w:lineRule="auto"/>
        <w:ind w:firstLine="720"/>
        <w:jc w:val="both"/>
        <w:rPr>
          <w:rStyle w:val="Hyperlink0"/>
          <w:rFonts w:eastAsia="Arial Unicode MS"/>
        </w:rPr>
      </w:pPr>
      <w:r w:rsidRPr="00FC55DB">
        <w:rPr>
          <w:rStyle w:val="Hyperlink0"/>
          <w:rFonts w:eastAsia="Arial Unicode MS"/>
        </w:rPr>
        <w:t>Таким чином</w:t>
      </w:r>
      <w:r>
        <w:rPr>
          <w:rStyle w:val="Hyperlink0"/>
          <w:rFonts w:eastAsia="Arial Unicode MS"/>
        </w:rPr>
        <w:t>, інтеграція знань про генетичні фактори, епігенетичні механізми та рівень фізичної активності дозволяє не лише підвищити ефективність заходів щодо запобігання ожирінню та цукровому діабету 2 типу, але й сприяє розробці персоналізованих програм оздоровчої активності, що враховують особливості кожної людини та дозволяють максимально адаптувати профілактичні та корекційні заходи до її фізіологічних потреб.</w:t>
      </w:r>
    </w:p>
    <w:p w:rsidR="003C0557" w:rsidRDefault="00030A4E">
      <w:pPr>
        <w:pStyle w:val="Default"/>
        <w:spacing w:before="0" w:line="360" w:lineRule="auto"/>
        <w:ind w:firstLine="720"/>
        <w:jc w:val="both"/>
        <w:rPr>
          <w:rStyle w:val="None"/>
          <w:rFonts w:ascii="Times New Roman" w:eastAsia="Times New Roman" w:hAnsi="Times New Roman" w:cs="Times New Roman"/>
          <w:b/>
          <w:bCs/>
          <w:sz w:val="28"/>
          <w:szCs w:val="28"/>
        </w:rPr>
      </w:pPr>
      <w:r>
        <w:rPr>
          <w:rStyle w:val="Hyperlink0"/>
          <w:rFonts w:eastAsia="Arial Unicode MS"/>
        </w:rPr>
        <w:t>Отже, інтеграція знань про генетичні фактори, епігенетичні механізми та рівень фізичної активності дозволяє не лише підвищити ефективність заходів щодо запобігання ожирінню та цукровому діабету 2 типу, але й сприяє розробці персоналізованих програм оздоровчої активності, що враховують особливості кожної людини та дозволяють максимально адаптувати профілактичні та корекційні заходи до її фізіологічних потреб.</w:t>
      </w:r>
    </w:p>
    <w:p w:rsidR="003C0557" w:rsidRPr="00FC55DB" w:rsidRDefault="003C0557">
      <w:pPr>
        <w:rPr>
          <w:lang w:val="uk-UA"/>
        </w:rPr>
      </w:pPr>
    </w:p>
    <w:p w:rsidR="003C0557" w:rsidRDefault="00030A4E">
      <w:pPr>
        <w:pStyle w:val="1"/>
        <w:rPr>
          <w:rStyle w:val="None"/>
        </w:rPr>
      </w:pPr>
      <w:bookmarkStart w:id="18" w:name="_Toc17"/>
      <w:r>
        <w:rPr>
          <w:rStyle w:val="None"/>
          <w:rFonts w:eastAsia="Arial Unicode MS" w:cs="Arial Unicode MS"/>
        </w:rPr>
        <w:t>ВИСНОВКИ</w:t>
      </w:r>
      <w:bookmarkEnd w:id="18"/>
    </w:p>
    <w:p w:rsidR="003C0557" w:rsidRDefault="003C0557">
      <w:pPr>
        <w:pStyle w:val="Default"/>
        <w:spacing w:before="0" w:line="360" w:lineRule="auto"/>
        <w:ind w:firstLine="720"/>
        <w:jc w:val="both"/>
        <w:rPr>
          <w:rStyle w:val="None"/>
          <w:rFonts w:ascii="Times New Roman" w:eastAsia="Times New Roman" w:hAnsi="Times New Roman" w:cs="Times New Roman"/>
          <w:sz w:val="28"/>
          <w:szCs w:val="28"/>
        </w:rPr>
      </w:pPr>
    </w:p>
    <w:p w:rsidR="003C0557" w:rsidRDefault="00030A4E">
      <w:pPr>
        <w:pStyle w:val="Default"/>
        <w:spacing w:before="0" w:line="360" w:lineRule="auto"/>
        <w:ind w:firstLine="720"/>
        <w:jc w:val="both"/>
        <w:rPr>
          <w:rStyle w:val="None"/>
          <w:rFonts w:ascii="Times New Roman" w:eastAsia="Times New Roman" w:hAnsi="Times New Roman" w:cs="Times New Roman"/>
          <w:sz w:val="28"/>
          <w:szCs w:val="28"/>
        </w:rPr>
      </w:pPr>
      <w:r>
        <w:rPr>
          <w:rStyle w:val="None"/>
          <w:rFonts w:ascii="Times New Roman" w:hAnsi="Times New Roman"/>
          <w:sz w:val="28"/>
          <w:szCs w:val="28"/>
        </w:rPr>
        <w:t>У результаті проведеного дослідження було проаналізовано молекулярно-генетичні основи жирового обміну, що дозволило виділити ключові гени та поліморфізми, які впливають на накопичення та мобілізацію жирової тканини, регуляцію апетиту та схильність до ожиріння. Зокрема, встановлено, що наявність певних генетичних варіантів асоційована зі змінами метаболізму ліпідів, чутливістю до білкової дієти та здатністю організму до ефективного β-окислення жирних кислот. Крім того, дослідження підтвердило, що фізичні навантаження позитивно впливають на експресію генів, залучених у жировий обмін, підвищуючи ефективність спалювання жирів, покращуючи метаболічний профіль та загальне самопочуття, хоча швидкість прояву ефекту залежить від генетичних особливостей учасників.</w:t>
      </w:r>
    </w:p>
    <w:p w:rsidR="003C0557" w:rsidRDefault="00030A4E">
      <w:pPr>
        <w:pStyle w:val="Default"/>
        <w:spacing w:before="0" w:line="360" w:lineRule="auto"/>
        <w:ind w:firstLine="720"/>
        <w:jc w:val="both"/>
        <w:rPr>
          <w:rStyle w:val="None"/>
          <w:rFonts w:ascii="Times New Roman" w:eastAsia="Times New Roman" w:hAnsi="Times New Roman" w:cs="Times New Roman"/>
          <w:sz w:val="28"/>
          <w:szCs w:val="28"/>
        </w:rPr>
      </w:pPr>
      <w:r>
        <w:rPr>
          <w:rStyle w:val="None"/>
          <w:rFonts w:ascii="Times New Roman" w:hAnsi="Times New Roman"/>
          <w:sz w:val="28"/>
          <w:szCs w:val="28"/>
          <w:lang w:val="ru-RU"/>
        </w:rPr>
        <w:t>Експериментальна частина показала</w:t>
      </w:r>
      <w:r>
        <w:rPr>
          <w:rStyle w:val="None"/>
          <w:rFonts w:ascii="Times New Roman" w:hAnsi="Times New Roman"/>
          <w:sz w:val="28"/>
          <w:szCs w:val="28"/>
        </w:rPr>
        <w:t>, що ефективність зниження маси тіла значною мірою визначається генетичними варіантами. Учасники з генетично сприятливими поліморфізмами демонстрували швидке зниження маси тіла та об’єму талії, покращення ліпідного профілю та самопочуття, тоді як носії «ризикових» генотипів досягали менш виражених результатів і потребували більш суворого контролю калорійності, регулярного моніторингу метаболічних показників та комплексного підходу, що поєднує збалансоване харчування та фізичні навантаження.</w:t>
      </w:r>
    </w:p>
    <w:p w:rsidR="003C0557" w:rsidRDefault="00030A4E">
      <w:pPr>
        <w:pStyle w:val="Default"/>
        <w:spacing w:before="0" w:line="360" w:lineRule="auto"/>
        <w:ind w:firstLine="720"/>
        <w:jc w:val="both"/>
        <w:rPr>
          <w:rStyle w:val="None"/>
          <w:rFonts w:ascii="Times New Roman" w:eastAsia="Times New Roman" w:hAnsi="Times New Roman" w:cs="Times New Roman"/>
          <w:sz w:val="28"/>
          <w:szCs w:val="28"/>
        </w:rPr>
      </w:pPr>
      <w:r>
        <w:rPr>
          <w:rStyle w:val="None"/>
          <w:rFonts w:ascii="Times New Roman" w:hAnsi="Times New Roman"/>
          <w:sz w:val="28"/>
          <w:szCs w:val="28"/>
        </w:rPr>
        <w:t xml:space="preserve">Аналіз ліпідного обміну підтвердив, що жири виконують багатофункціональні ролі, </w:t>
      </w:r>
      <w:r w:rsidRPr="00FC55DB">
        <w:rPr>
          <w:rStyle w:val="None"/>
          <w:rFonts w:ascii="Times New Roman" w:hAnsi="Times New Roman"/>
          <w:sz w:val="28"/>
          <w:szCs w:val="28"/>
        </w:rPr>
        <w:t>виступаючи енергетичним субстратом</w:t>
      </w:r>
      <w:r>
        <w:rPr>
          <w:rStyle w:val="None"/>
          <w:rFonts w:ascii="Times New Roman" w:hAnsi="Times New Roman"/>
          <w:sz w:val="28"/>
          <w:szCs w:val="28"/>
        </w:rPr>
        <w:t xml:space="preserve">, структурним компонентом клітинних мембран, попередниками гормонів та біологічно активних молекул. З’ясовано, що ненасичені жири підвищують ЛПВЩ та знижують ризик серцево-судинних захворювань, тоді як насичені та транс-жири підвищують ЛПНЩ і сприяють розвитку метаболічних порушень. Порушення жирового обміну проявляється ожирінням, дисліпідемією, стеатозом печінки та іншими метаболічними патологіями, що підкреслює необхідність персоналізації програм харчування та </w:t>
      </w:r>
      <w:r>
        <w:rPr>
          <w:rStyle w:val="None"/>
          <w:rFonts w:ascii="Times New Roman" w:hAnsi="Times New Roman"/>
          <w:sz w:val="28"/>
          <w:szCs w:val="28"/>
        </w:rPr>
        <w:lastRenderedPageBreak/>
        <w:t>фізичної активності з урахуванням індивідуальних генетичних та метаболічних особливостей.</w:t>
      </w:r>
    </w:p>
    <w:p w:rsidR="003C0557" w:rsidRDefault="00030A4E">
      <w:pPr>
        <w:pStyle w:val="Default"/>
        <w:spacing w:before="0" w:line="360" w:lineRule="auto"/>
        <w:ind w:firstLine="720"/>
        <w:jc w:val="both"/>
        <w:rPr>
          <w:rStyle w:val="None"/>
          <w:rFonts w:ascii="Times New Roman" w:eastAsia="Times New Roman" w:hAnsi="Times New Roman" w:cs="Times New Roman"/>
          <w:sz w:val="28"/>
          <w:szCs w:val="28"/>
        </w:rPr>
      </w:pPr>
      <w:r>
        <w:rPr>
          <w:rStyle w:val="None"/>
          <w:rFonts w:ascii="Times New Roman" w:hAnsi="Times New Roman"/>
          <w:sz w:val="28"/>
          <w:szCs w:val="28"/>
        </w:rPr>
        <w:t xml:space="preserve">На основі отриманих даних розроблено практичні рекомендації щодо персоналізації заходів для контролю маси тіла, які передбачають оцінку генетичних варіантів, метаболічного профілю та індивідуальної реакції організму на харчові фактори та фізичні навантаження. Інтеграція генетичного тестування, контрольованого харчування та регулярної фізичної активності дозволяє оптимізувати програму, підвищити її ефективність та забезпечити стабільне покращення метаболічного профілю і загального самопочуття учасників. </w:t>
      </w:r>
      <w:r>
        <w:rPr>
          <w:rStyle w:val="None"/>
          <w:rFonts w:ascii="Times New Roman" w:hAnsi="Times New Roman"/>
          <w:sz w:val="28"/>
          <w:szCs w:val="28"/>
          <w:lang w:val="ru-RU"/>
        </w:rPr>
        <w:t>Таким чином</w:t>
      </w:r>
      <w:r>
        <w:rPr>
          <w:rStyle w:val="None"/>
          <w:rFonts w:ascii="Times New Roman" w:hAnsi="Times New Roman"/>
          <w:sz w:val="28"/>
          <w:szCs w:val="28"/>
        </w:rPr>
        <w:t>, персоналізація є ключовим чинником успішної корекції маси тіла та підтримки здорового метаболічного стану у дорослих з надмірною вагою або ожирінням.</w:t>
      </w:r>
    </w:p>
    <w:p w:rsidR="003C0557" w:rsidRDefault="00030A4E">
      <w:pPr>
        <w:pStyle w:val="Default"/>
        <w:spacing w:before="0" w:after="240" w:line="240" w:lineRule="auto"/>
        <w:rPr>
          <w:rFonts w:hint="eastAsia"/>
        </w:rPr>
      </w:pPr>
      <w:r>
        <w:rPr>
          <w:rStyle w:val="None"/>
          <w:rFonts w:ascii="Arial Unicode MS" w:hAnsi="Arial Unicode MS"/>
          <w:sz w:val="28"/>
          <w:szCs w:val="28"/>
        </w:rPr>
        <w:br w:type="page"/>
      </w:r>
    </w:p>
    <w:p w:rsidR="003C0557" w:rsidRPr="00FC55DB" w:rsidRDefault="00030A4E">
      <w:pPr>
        <w:rPr>
          <w:rStyle w:val="None"/>
          <w:b/>
          <w:bCs/>
          <w:sz w:val="28"/>
          <w:szCs w:val="28"/>
          <w:lang w:val="ru-RU"/>
        </w:rPr>
      </w:pPr>
      <w:r w:rsidRPr="00FC55DB">
        <w:rPr>
          <w:rStyle w:val="None"/>
          <w:rFonts w:eastAsia="Arial Unicode MS" w:cs="Arial Unicode MS"/>
          <w:b/>
          <w:bCs/>
          <w:sz w:val="28"/>
          <w:szCs w:val="28"/>
          <w:lang w:val="ru-RU"/>
        </w:rPr>
        <w:lastRenderedPageBreak/>
        <w:t xml:space="preserve"> </w:t>
      </w:r>
    </w:p>
    <w:p w:rsidR="003C0557" w:rsidRDefault="00030A4E">
      <w:pPr>
        <w:pStyle w:val="1"/>
        <w:rPr>
          <w:rStyle w:val="None"/>
        </w:rPr>
      </w:pPr>
      <w:bookmarkStart w:id="19" w:name="_Toc18"/>
      <w:r>
        <w:rPr>
          <w:rStyle w:val="None"/>
          <w:rFonts w:eastAsia="Arial Unicode MS" w:cs="Arial Unicode MS"/>
        </w:rPr>
        <w:t>СПИСОК ВИКОРИСТАНИХ ДЖЕРЕЛ</w:t>
      </w:r>
      <w:bookmarkEnd w:id="19"/>
    </w:p>
    <w:p w:rsidR="003C0557" w:rsidRDefault="003C0557">
      <w:pPr>
        <w:pStyle w:val="Default"/>
        <w:spacing w:before="0" w:line="360" w:lineRule="auto"/>
        <w:rPr>
          <w:rStyle w:val="None"/>
          <w:rFonts w:ascii="Times New Roman" w:eastAsia="Times New Roman" w:hAnsi="Times New Roman" w:cs="Times New Roman"/>
          <w:b/>
          <w:bCs/>
          <w:sz w:val="28"/>
          <w:szCs w:val="28"/>
        </w:rPr>
      </w:pPr>
    </w:p>
    <w:p w:rsidR="003C0557" w:rsidRDefault="00030A4E">
      <w:pPr>
        <w:pStyle w:val="BodyA"/>
        <w:numPr>
          <w:ilvl w:val="0"/>
          <w:numId w:val="10"/>
        </w:numPr>
        <w:spacing w:line="360" w:lineRule="auto"/>
        <w:jc w:val="both"/>
        <w:rPr>
          <w:sz w:val="28"/>
          <w:szCs w:val="28"/>
        </w:rPr>
      </w:pPr>
      <w:r>
        <w:rPr>
          <w:rStyle w:val="None"/>
          <w:sz w:val="28"/>
          <w:szCs w:val="28"/>
        </w:rPr>
        <w:t xml:space="preserve">Патофізіологія : підруч. </w:t>
      </w:r>
      <w:r>
        <w:rPr>
          <w:rStyle w:val="None"/>
          <w:sz w:val="28"/>
          <w:szCs w:val="28"/>
          <w:lang w:val="ru-RU"/>
        </w:rPr>
        <w:t>для студ</w:t>
      </w:r>
      <w:r>
        <w:rPr>
          <w:rStyle w:val="None"/>
          <w:sz w:val="28"/>
          <w:szCs w:val="28"/>
        </w:rPr>
        <w:t xml:space="preserve">. </w:t>
      </w:r>
      <w:r>
        <w:rPr>
          <w:rStyle w:val="None"/>
          <w:sz w:val="28"/>
          <w:szCs w:val="28"/>
          <w:lang w:val="ru-RU"/>
        </w:rPr>
        <w:t>вищ</w:t>
      </w:r>
      <w:r>
        <w:rPr>
          <w:rStyle w:val="None"/>
          <w:sz w:val="28"/>
          <w:szCs w:val="28"/>
        </w:rPr>
        <w:t xml:space="preserve">. мед. навч. закл. / Ю. В. Биць, Г. М. Бутенко, М. Н. </w:t>
      </w:r>
      <w:r>
        <w:rPr>
          <w:rStyle w:val="None"/>
          <w:sz w:val="28"/>
          <w:szCs w:val="28"/>
          <w:lang w:val="ru-RU"/>
        </w:rPr>
        <w:t xml:space="preserve">Зайко </w:t>
      </w:r>
      <w:r>
        <w:rPr>
          <w:rStyle w:val="None"/>
          <w:sz w:val="28"/>
          <w:szCs w:val="28"/>
          <w:lang w:val="pt-PT"/>
        </w:rPr>
        <w:t>[</w:t>
      </w:r>
      <w:r>
        <w:rPr>
          <w:rStyle w:val="None"/>
          <w:sz w:val="28"/>
          <w:szCs w:val="28"/>
        </w:rPr>
        <w:t>та ін</w:t>
      </w:r>
      <w:r>
        <w:rPr>
          <w:rStyle w:val="None"/>
          <w:sz w:val="28"/>
          <w:szCs w:val="28"/>
          <w:lang w:val="fr-FR"/>
        </w:rPr>
        <w:t xml:space="preserve">.] ; </w:t>
      </w:r>
      <w:r>
        <w:rPr>
          <w:rStyle w:val="None"/>
          <w:sz w:val="28"/>
          <w:szCs w:val="28"/>
        </w:rPr>
        <w:t xml:space="preserve">за ред. М. Н. </w:t>
      </w:r>
      <w:r>
        <w:rPr>
          <w:rStyle w:val="None"/>
          <w:sz w:val="28"/>
          <w:szCs w:val="28"/>
          <w:lang w:val="ru-RU"/>
        </w:rPr>
        <w:t>Зайка</w:t>
      </w:r>
      <w:r>
        <w:rPr>
          <w:rStyle w:val="None"/>
          <w:sz w:val="28"/>
          <w:szCs w:val="28"/>
        </w:rPr>
        <w:t xml:space="preserve">, Ю. В. Биця, М. В. </w:t>
      </w:r>
      <w:r>
        <w:rPr>
          <w:rStyle w:val="None"/>
          <w:sz w:val="28"/>
          <w:szCs w:val="28"/>
          <w:lang w:val="ru-RU"/>
        </w:rPr>
        <w:t>Кришталя</w:t>
      </w:r>
      <w:r>
        <w:rPr>
          <w:rStyle w:val="None"/>
          <w:sz w:val="28"/>
          <w:szCs w:val="28"/>
        </w:rPr>
        <w:t xml:space="preserve">. </w:t>
      </w:r>
      <w:r w:rsidRPr="00FC55DB">
        <w:rPr>
          <w:rStyle w:val="None"/>
          <w:sz w:val="28"/>
          <w:szCs w:val="28"/>
          <w:lang w:val="ru-RU"/>
        </w:rPr>
        <w:t xml:space="preserve">— </w:t>
      </w:r>
      <w:r>
        <w:rPr>
          <w:rStyle w:val="None"/>
          <w:sz w:val="28"/>
          <w:szCs w:val="28"/>
        </w:rPr>
        <w:t>5-</w:t>
      </w:r>
      <w:r>
        <w:rPr>
          <w:rStyle w:val="None"/>
          <w:sz w:val="28"/>
          <w:szCs w:val="28"/>
          <w:lang w:val="ru-RU"/>
        </w:rPr>
        <w:t>е вид</w:t>
      </w:r>
      <w:r>
        <w:rPr>
          <w:rStyle w:val="None"/>
          <w:sz w:val="28"/>
          <w:szCs w:val="28"/>
        </w:rPr>
        <w:t xml:space="preserve">., перероб. і допов. </w:t>
      </w:r>
      <w:r w:rsidRPr="00FC55DB">
        <w:rPr>
          <w:rStyle w:val="None"/>
          <w:sz w:val="28"/>
          <w:szCs w:val="28"/>
          <w:lang w:val="ru-RU"/>
        </w:rPr>
        <w:t>— К</w:t>
      </w:r>
      <w:r>
        <w:rPr>
          <w:rStyle w:val="None"/>
          <w:sz w:val="28"/>
          <w:szCs w:val="28"/>
          <w:lang w:val="fr-FR"/>
        </w:rPr>
        <w:t xml:space="preserve">. : </w:t>
      </w:r>
      <w:r>
        <w:rPr>
          <w:rStyle w:val="None"/>
          <w:sz w:val="28"/>
          <w:szCs w:val="28"/>
        </w:rPr>
        <w:t xml:space="preserve">Медицина, 2015. </w:t>
      </w:r>
      <w:r w:rsidRPr="00FC55DB">
        <w:rPr>
          <w:rStyle w:val="None"/>
          <w:sz w:val="28"/>
          <w:szCs w:val="28"/>
          <w:lang w:val="ru-RU"/>
        </w:rPr>
        <w:t xml:space="preserve">— </w:t>
      </w:r>
      <w:r>
        <w:rPr>
          <w:rStyle w:val="None"/>
          <w:sz w:val="28"/>
          <w:szCs w:val="28"/>
        </w:rPr>
        <w:t>752 с.</w:t>
      </w:r>
    </w:p>
    <w:p w:rsidR="003C0557" w:rsidRDefault="00030A4E">
      <w:pPr>
        <w:pStyle w:val="BodyA"/>
        <w:numPr>
          <w:ilvl w:val="0"/>
          <w:numId w:val="10"/>
        </w:numPr>
        <w:spacing w:line="360" w:lineRule="auto"/>
        <w:jc w:val="both"/>
        <w:rPr>
          <w:sz w:val="28"/>
          <w:szCs w:val="28"/>
        </w:rPr>
      </w:pPr>
      <w:r>
        <w:rPr>
          <w:rStyle w:val="None"/>
          <w:sz w:val="28"/>
          <w:szCs w:val="28"/>
        </w:rPr>
        <w:t xml:space="preserve">Патофізіологія : підручник для студ. вищих мед. навч. закл. / М. Н. </w:t>
      </w:r>
      <w:r>
        <w:rPr>
          <w:rStyle w:val="None"/>
          <w:sz w:val="28"/>
          <w:szCs w:val="28"/>
          <w:lang w:val="ru-RU"/>
        </w:rPr>
        <w:t>Зайко</w:t>
      </w:r>
      <w:r>
        <w:rPr>
          <w:rStyle w:val="None"/>
          <w:sz w:val="28"/>
          <w:szCs w:val="28"/>
        </w:rPr>
        <w:t xml:space="preserve">, Ю. В. Биць, Г. М. Бутенко </w:t>
      </w:r>
      <w:r>
        <w:rPr>
          <w:rStyle w:val="None"/>
          <w:sz w:val="28"/>
          <w:szCs w:val="28"/>
          <w:lang w:val="pt-PT"/>
        </w:rPr>
        <w:t>[</w:t>
      </w:r>
      <w:r>
        <w:rPr>
          <w:rStyle w:val="None"/>
          <w:sz w:val="28"/>
          <w:szCs w:val="28"/>
        </w:rPr>
        <w:t>та ін</w:t>
      </w:r>
      <w:r>
        <w:rPr>
          <w:rStyle w:val="None"/>
          <w:sz w:val="28"/>
          <w:szCs w:val="28"/>
          <w:lang w:val="fr-FR"/>
        </w:rPr>
        <w:t xml:space="preserve">.] ; </w:t>
      </w:r>
      <w:r>
        <w:rPr>
          <w:rStyle w:val="None"/>
          <w:sz w:val="28"/>
          <w:szCs w:val="28"/>
        </w:rPr>
        <w:t xml:space="preserve">за ред. М. Н. </w:t>
      </w:r>
      <w:r>
        <w:rPr>
          <w:rStyle w:val="None"/>
          <w:sz w:val="28"/>
          <w:szCs w:val="28"/>
          <w:lang w:val="ru-RU"/>
        </w:rPr>
        <w:t>Зайка</w:t>
      </w:r>
      <w:r>
        <w:rPr>
          <w:rStyle w:val="None"/>
          <w:sz w:val="28"/>
          <w:szCs w:val="28"/>
        </w:rPr>
        <w:t xml:space="preserve">, Ю. В. Биця. </w:t>
      </w:r>
      <w:r w:rsidRPr="00FC55DB">
        <w:rPr>
          <w:rStyle w:val="None"/>
          <w:sz w:val="28"/>
          <w:szCs w:val="28"/>
          <w:lang w:val="ru-RU"/>
        </w:rPr>
        <w:t xml:space="preserve">— </w:t>
      </w:r>
      <w:r>
        <w:rPr>
          <w:rStyle w:val="None"/>
          <w:sz w:val="28"/>
          <w:szCs w:val="28"/>
        </w:rPr>
        <w:t>2-</w:t>
      </w:r>
      <w:r>
        <w:rPr>
          <w:rStyle w:val="None"/>
          <w:sz w:val="28"/>
          <w:szCs w:val="28"/>
          <w:lang w:val="ru-RU"/>
        </w:rPr>
        <w:t>е вид</w:t>
      </w:r>
      <w:r>
        <w:rPr>
          <w:rStyle w:val="None"/>
          <w:sz w:val="28"/>
          <w:szCs w:val="28"/>
        </w:rPr>
        <w:t xml:space="preserve">., перероб. і допов. </w:t>
      </w:r>
      <w:r w:rsidRPr="00FC55DB">
        <w:rPr>
          <w:rStyle w:val="None"/>
          <w:sz w:val="28"/>
          <w:szCs w:val="28"/>
          <w:lang w:val="ru-RU"/>
        </w:rPr>
        <w:t>— К</w:t>
      </w:r>
      <w:r>
        <w:rPr>
          <w:rStyle w:val="None"/>
          <w:sz w:val="28"/>
          <w:szCs w:val="28"/>
          <w:lang w:val="fr-FR"/>
        </w:rPr>
        <w:t xml:space="preserve">. : </w:t>
      </w:r>
      <w:r>
        <w:rPr>
          <w:rStyle w:val="None"/>
          <w:sz w:val="28"/>
          <w:szCs w:val="28"/>
        </w:rPr>
        <w:t xml:space="preserve">Медицина, 2008. </w:t>
      </w:r>
      <w:r w:rsidRPr="00FC55DB">
        <w:rPr>
          <w:rStyle w:val="None"/>
          <w:sz w:val="28"/>
          <w:szCs w:val="28"/>
          <w:lang w:val="ru-RU"/>
        </w:rPr>
        <w:t xml:space="preserve">— </w:t>
      </w:r>
      <w:r>
        <w:rPr>
          <w:rStyle w:val="None"/>
          <w:sz w:val="28"/>
          <w:szCs w:val="28"/>
        </w:rPr>
        <w:t>704 с.</w:t>
      </w:r>
    </w:p>
    <w:p w:rsidR="003C0557" w:rsidRDefault="00030A4E">
      <w:pPr>
        <w:pStyle w:val="BodyA"/>
        <w:numPr>
          <w:ilvl w:val="0"/>
          <w:numId w:val="10"/>
        </w:numPr>
        <w:spacing w:line="360" w:lineRule="auto"/>
        <w:jc w:val="both"/>
        <w:rPr>
          <w:sz w:val="28"/>
          <w:szCs w:val="28"/>
        </w:rPr>
      </w:pPr>
      <w:r>
        <w:rPr>
          <w:rStyle w:val="None"/>
          <w:sz w:val="28"/>
          <w:szCs w:val="28"/>
        </w:rPr>
        <w:t xml:space="preserve">Атаман О. В. Патофізіологія : підруч. </w:t>
      </w:r>
      <w:r>
        <w:rPr>
          <w:rStyle w:val="None"/>
          <w:sz w:val="28"/>
          <w:szCs w:val="28"/>
          <w:lang w:val="ru-RU"/>
        </w:rPr>
        <w:t>для студ</w:t>
      </w:r>
      <w:r>
        <w:rPr>
          <w:rStyle w:val="None"/>
          <w:sz w:val="28"/>
          <w:szCs w:val="28"/>
        </w:rPr>
        <w:t xml:space="preserve">. </w:t>
      </w:r>
      <w:r>
        <w:rPr>
          <w:rStyle w:val="None"/>
          <w:sz w:val="28"/>
          <w:szCs w:val="28"/>
          <w:lang w:val="ru-RU"/>
        </w:rPr>
        <w:t>вищ</w:t>
      </w:r>
      <w:r>
        <w:rPr>
          <w:rStyle w:val="None"/>
          <w:sz w:val="28"/>
          <w:szCs w:val="28"/>
        </w:rPr>
        <w:t>. мед. навч. закл. У 2-</w:t>
      </w:r>
      <w:r>
        <w:rPr>
          <w:rStyle w:val="None"/>
          <w:sz w:val="28"/>
          <w:szCs w:val="28"/>
          <w:lang w:val="ru-RU"/>
        </w:rPr>
        <w:t>х т</w:t>
      </w:r>
      <w:r>
        <w:rPr>
          <w:rStyle w:val="None"/>
          <w:sz w:val="28"/>
          <w:szCs w:val="28"/>
        </w:rPr>
        <w:t>. Т</w:t>
      </w:r>
      <w:r>
        <w:rPr>
          <w:rStyle w:val="None"/>
          <w:sz w:val="28"/>
          <w:szCs w:val="28"/>
          <w:lang w:val="fr-FR"/>
        </w:rPr>
        <w:t xml:space="preserve">. 1 : </w:t>
      </w:r>
      <w:r>
        <w:rPr>
          <w:rStyle w:val="None"/>
          <w:sz w:val="28"/>
          <w:szCs w:val="28"/>
        </w:rPr>
        <w:t xml:space="preserve">Загальна патологія / О. В. Атаман. — Вінниця : </w:t>
      </w:r>
      <w:r>
        <w:rPr>
          <w:rStyle w:val="None"/>
          <w:sz w:val="28"/>
          <w:szCs w:val="28"/>
          <w:lang w:val="ru-RU"/>
        </w:rPr>
        <w:t>Нова книга</w:t>
      </w:r>
      <w:r>
        <w:rPr>
          <w:rStyle w:val="None"/>
          <w:sz w:val="28"/>
          <w:szCs w:val="28"/>
        </w:rPr>
        <w:t xml:space="preserve">, 2012. </w:t>
      </w:r>
      <w:r w:rsidRPr="00FC55DB">
        <w:rPr>
          <w:rStyle w:val="None"/>
          <w:sz w:val="28"/>
          <w:szCs w:val="28"/>
          <w:lang w:val="ru-RU"/>
        </w:rPr>
        <w:t xml:space="preserve">— </w:t>
      </w:r>
      <w:r>
        <w:rPr>
          <w:rStyle w:val="None"/>
          <w:sz w:val="28"/>
          <w:szCs w:val="28"/>
        </w:rPr>
        <w:t>592 с.</w:t>
      </w:r>
    </w:p>
    <w:p w:rsidR="003C0557" w:rsidRDefault="00030A4E">
      <w:pPr>
        <w:pStyle w:val="BodyA"/>
        <w:numPr>
          <w:ilvl w:val="0"/>
          <w:numId w:val="10"/>
        </w:numPr>
        <w:spacing w:line="360" w:lineRule="auto"/>
        <w:jc w:val="both"/>
        <w:rPr>
          <w:sz w:val="28"/>
          <w:szCs w:val="28"/>
        </w:rPr>
      </w:pPr>
      <w:r>
        <w:rPr>
          <w:rStyle w:val="None"/>
          <w:sz w:val="28"/>
          <w:szCs w:val="28"/>
        </w:rPr>
        <w:t xml:space="preserve">Атаман О. В. Патофізіологія : підруч. </w:t>
      </w:r>
      <w:r>
        <w:rPr>
          <w:rStyle w:val="None"/>
          <w:sz w:val="28"/>
          <w:szCs w:val="28"/>
          <w:lang w:val="ru-RU"/>
        </w:rPr>
        <w:t>для студ</w:t>
      </w:r>
      <w:r>
        <w:rPr>
          <w:rStyle w:val="None"/>
          <w:sz w:val="28"/>
          <w:szCs w:val="28"/>
        </w:rPr>
        <w:t xml:space="preserve">. </w:t>
      </w:r>
      <w:r>
        <w:rPr>
          <w:rStyle w:val="None"/>
          <w:sz w:val="28"/>
          <w:szCs w:val="28"/>
          <w:lang w:val="ru-RU"/>
        </w:rPr>
        <w:t>вищ</w:t>
      </w:r>
      <w:r>
        <w:rPr>
          <w:rStyle w:val="None"/>
          <w:sz w:val="28"/>
          <w:szCs w:val="28"/>
        </w:rPr>
        <w:t>. мед. навч. закл. Т</w:t>
      </w:r>
      <w:r>
        <w:rPr>
          <w:rStyle w:val="None"/>
          <w:sz w:val="28"/>
          <w:szCs w:val="28"/>
          <w:lang w:val="fr-FR"/>
        </w:rPr>
        <w:t xml:space="preserve">. 2 : </w:t>
      </w:r>
      <w:r>
        <w:rPr>
          <w:rStyle w:val="None"/>
          <w:sz w:val="28"/>
          <w:szCs w:val="28"/>
        </w:rPr>
        <w:t xml:space="preserve">Патофізіологія органів і систем / О. В. Атаман. — Вінниця : </w:t>
      </w:r>
      <w:r>
        <w:rPr>
          <w:rStyle w:val="None"/>
          <w:sz w:val="28"/>
          <w:szCs w:val="28"/>
          <w:lang w:val="ru-RU"/>
        </w:rPr>
        <w:t>Нова книга</w:t>
      </w:r>
      <w:r>
        <w:rPr>
          <w:rStyle w:val="None"/>
          <w:sz w:val="28"/>
          <w:szCs w:val="28"/>
        </w:rPr>
        <w:t xml:space="preserve">, 2016. </w:t>
      </w:r>
      <w:r w:rsidRPr="00FC55DB">
        <w:rPr>
          <w:rStyle w:val="None"/>
          <w:sz w:val="28"/>
          <w:szCs w:val="28"/>
          <w:lang w:val="ru-RU"/>
        </w:rPr>
        <w:t xml:space="preserve">— </w:t>
      </w:r>
      <w:r>
        <w:rPr>
          <w:rStyle w:val="None"/>
          <w:sz w:val="28"/>
          <w:szCs w:val="28"/>
        </w:rPr>
        <w:t>448 с.</w:t>
      </w:r>
    </w:p>
    <w:p w:rsidR="003C0557" w:rsidRDefault="00030A4E">
      <w:pPr>
        <w:pStyle w:val="BodyA"/>
        <w:numPr>
          <w:ilvl w:val="0"/>
          <w:numId w:val="10"/>
        </w:numPr>
        <w:spacing w:line="360" w:lineRule="auto"/>
        <w:jc w:val="both"/>
        <w:rPr>
          <w:sz w:val="28"/>
          <w:szCs w:val="28"/>
        </w:rPr>
      </w:pPr>
      <w:r>
        <w:rPr>
          <w:rStyle w:val="None"/>
          <w:sz w:val="28"/>
          <w:szCs w:val="28"/>
        </w:rPr>
        <w:t xml:space="preserve">Атаман О. В. Патологічна фізіологія в запитаннях і відповідях : навч. посіб. / О. В. Атаман. </w:t>
      </w:r>
      <w:r w:rsidRPr="00FC55DB">
        <w:rPr>
          <w:rStyle w:val="None"/>
          <w:sz w:val="28"/>
          <w:szCs w:val="28"/>
          <w:lang w:val="ru-RU"/>
        </w:rPr>
        <w:t>— Вид</w:t>
      </w:r>
      <w:r>
        <w:rPr>
          <w:rStyle w:val="None"/>
          <w:sz w:val="28"/>
          <w:szCs w:val="28"/>
        </w:rPr>
        <w:t xml:space="preserve">. 4-е. — Вінниця : </w:t>
      </w:r>
      <w:r>
        <w:rPr>
          <w:rStyle w:val="None"/>
          <w:sz w:val="28"/>
          <w:szCs w:val="28"/>
          <w:lang w:val="ru-RU"/>
        </w:rPr>
        <w:t>Нова книга</w:t>
      </w:r>
      <w:r>
        <w:rPr>
          <w:rStyle w:val="None"/>
          <w:sz w:val="28"/>
          <w:szCs w:val="28"/>
        </w:rPr>
        <w:t xml:space="preserve">, 2010. </w:t>
      </w:r>
      <w:r w:rsidRPr="00FC55DB">
        <w:rPr>
          <w:rStyle w:val="None"/>
          <w:sz w:val="28"/>
          <w:szCs w:val="28"/>
          <w:lang w:val="ru-RU"/>
        </w:rPr>
        <w:t xml:space="preserve">— </w:t>
      </w:r>
      <w:r>
        <w:rPr>
          <w:rStyle w:val="None"/>
          <w:sz w:val="28"/>
          <w:szCs w:val="28"/>
        </w:rPr>
        <w:t>512 с.</w:t>
      </w:r>
    </w:p>
    <w:p w:rsidR="003C0557" w:rsidRDefault="00030A4E">
      <w:pPr>
        <w:pStyle w:val="BodyA"/>
        <w:numPr>
          <w:ilvl w:val="0"/>
          <w:numId w:val="10"/>
        </w:numPr>
        <w:spacing w:line="360" w:lineRule="auto"/>
        <w:jc w:val="both"/>
        <w:rPr>
          <w:sz w:val="28"/>
          <w:szCs w:val="28"/>
        </w:rPr>
      </w:pPr>
      <w:r>
        <w:rPr>
          <w:rStyle w:val="None"/>
          <w:sz w:val="28"/>
          <w:szCs w:val="28"/>
        </w:rPr>
        <w:t xml:space="preserve">Внутрішня медицина : підручник / Н. М. Середюк, Є. М. </w:t>
      </w:r>
      <w:r>
        <w:rPr>
          <w:rStyle w:val="None"/>
          <w:sz w:val="28"/>
          <w:szCs w:val="28"/>
          <w:lang w:val="ru-RU"/>
        </w:rPr>
        <w:t>Нейко</w:t>
      </w:r>
      <w:r>
        <w:rPr>
          <w:rStyle w:val="None"/>
          <w:sz w:val="28"/>
          <w:szCs w:val="28"/>
        </w:rPr>
        <w:t>, І. П. Вакалюк та ін</w:t>
      </w:r>
      <w:r>
        <w:rPr>
          <w:rStyle w:val="None"/>
          <w:sz w:val="28"/>
          <w:szCs w:val="28"/>
          <w:lang w:val="fr-FR"/>
        </w:rPr>
        <w:t xml:space="preserve">. ; </w:t>
      </w:r>
      <w:r>
        <w:rPr>
          <w:rStyle w:val="None"/>
          <w:sz w:val="28"/>
          <w:szCs w:val="28"/>
        </w:rPr>
        <w:t xml:space="preserve">за ред. Є. М. </w:t>
      </w:r>
      <w:r>
        <w:rPr>
          <w:rStyle w:val="None"/>
          <w:sz w:val="28"/>
          <w:szCs w:val="28"/>
          <w:lang w:val="ru-RU"/>
        </w:rPr>
        <w:t>Нейка</w:t>
      </w:r>
      <w:r>
        <w:rPr>
          <w:rStyle w:val="None"/>
          <w:sz w:val="28"/>
          <w:szCs w:val="28"/>
        </w:rPr>
        <w:t xml:space="preserve">. </w:t>
      </w:r>
      <w:r>
        <w:rPr>
          <w:rStyle w:val="None"/>
          <w:sz w:val="28"/>
          <w:szCs w:val="28"/>
          <w:lang w:val="en-US"/>
        </w:rPr>
        <w:t>— К</w:t>
      </w:r>
      <w:r>
        <w:rPr>
          <w:rStyle w:val="None"/>
          <w:sz w:val="28"/>
          <w:szCs w:val="28"/>
          <w:lang w:val="fr-FR"/>
        </w:rPr>
        <w:t xml:space="preserve">. : </w:t>
      </w:r>
      <w:r>
        <w:rPr>
          <w:rStyle w:val="None"/>
          <w:sz w:val="28"/>
          <w:szCs w:val="28"/>
        </w:rPr>
        <w:t xml:space="preserve">Медицина, 2009. </w:t>
      </w:r>
      <w:r>
        <w:rPr>
          <w:rStyle w:val="None"/>
          <w:sz w:val="28"/>
          <w:szCs w:val="28"/>
          <w:lang w:val="en-US"/>
        </w:rPr>
        <w:t xml:space="preserve">— </w:t>
      </w:r>
      <w:r>
        <w:rPr>
          <w:rStyle w:val="None"/>
          <w:sz w:val="28"/>
          <w:szCs w:val="28"/>
        </w:rPr>
        <w:t>1104 с.</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Kozhan, N. Epidemiology of diabetes. Suggestions for the program. Atlas: Diabetes in Ukraine [</w:t>
      </w:r>
      <w:r>
        <w:rPr>
          <w:rStyle w:val="None"/>
          <w:sz w:val="28"/>
          <w:szCs w:val="28"/>
        </w:rPr>
        <w:t>Інтернет</w:t>
      </w:r>
      <w:r>
        <w:rPr>
          <w:rStyle w:val="None"/>
          <w:sz w:val="28"/>
          <w:szCs w:val="28"/>
          <w:lang w:val="pt-PT"/>
        </w:rPr>
        <w:t>]. 2023 [</w:t>
      </w:r>
      <w:r>
        <w:rPr>
          <w:rStyle w:val="None"/>
          <w:sz w:val="28"/>
          <w:szCs w:val="28"/>
        </w:rPr>
        <w:t xml:space="preserve">цитовано </w:t>
      </w:r>
      <w:r>
        <w:rPr>
          <w:rStyle w:val="None"/>
          <w:sz w:val="28"/>
          <w:szCs w:val="28"/>
          <w:lang w:val="ru-RU"/>
        </w:rPr>
        <w:t>1 серп</w:t>
      </w:r>
      <w:r w:rsidRPr="00FC55DB">
        <w:rPr>
          <w:rStyle w:val="None"/>
          <w:sz w:val="28"/>
          <w:szCs w:val="28"/>
          <w:lang w:val="ru-RU"/>
        </w:rPr>
        <w:t xml:space="preserve">. 2024]. </w:t>
      </w:r>
      <w:r>
        <w:rPr>
          <w:rStyle w:val="None"/>
          <w:sz w:val="28"/>
          <w:szCs w:val="28"/>
        </w:rPr>
        <w:t>Доступно на</w:t>
      </w:r>
      <w:r>
        <w:rPr>
          <w:rStyle w:val="None"/>
          <w:sz w:val="28"/>
          <w:szCs w:val="28"/>
          <w:lang w:val="pt-PT"/>
        </w:rPr>
        <w:t>: https://diabetesatlas.com.ua/epidemiologia-diabetu-2023</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World Obesity. Global Obesity Observatory: Ukraine [</w:t>
      </w:r>
      <w:r>
        <w:rPr>
          <w:rStyle w:val="None"/>
          <w:sz w:val="28"/>
          <w:szCs w:val="28"/>
        </w:rPr>
        <w:t>Інтернет</w:t>
      </w:r>
      <w:r>
        <w:rPr>
          <w:rStyle w:val="None"/>
          <w:sz w:val="28"/>
          <w:szCs w:val="28"/>
          <w:lang w:val="en-US"/>
        </w:rPr>
        <w:t xml:space="preserve">]. </w:t>
      </w:r>
      <w:r w:rsidRPr="00FC55DB">
        <w:rPr>
          <w:rStyle w:val="None"/>
          <w:sz w:val="28"/>
          <w:szCs w:val="28"/>
          <w:lang w:val="ru-RU"/>
        </w:rPr>
        <w:t>2024 [</w:t>
      </w:r>
      <w:r>
        <w:rPr>
          <w:rStyle w:val="None"/>
          <w:sz w:val="28"/>
          <w:szCs w:val="28"/>
        </w:rPr>
        <w:t xml:space="preserve">цитовано </w:t>
      </w:r>
      <w:r>
        <w:rPr>
          <w:rStyle w:val="None"/>
          <w:sz w:val="28"/>
          <w:szCs w:val="28"/>
          <w:lang w:val="ru-RU"/>
        </w:rPr>
        <w:t>1 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data</w:t>
      </w:r>
      <w:r w:rsidRPr="00FC55DB">
        <w:rPr>
          <w:rStyle w:val="None"/>
          <w:sz w:val="28"/>
          <w:szCs w:val="28"/>
          <w:lang w:val="ru-RU"/>
        </w:rPr>
        <w:t>.</w:t>
      </w:r>
      <w:r>
        <w:rPr>
          <w:rStyle w:val="None"/>
          <w:sz w:val="28"/>
          <w:szCs w:val="28"/>
          <w:lang w:val="en-US"/>
        </w:rPr>
        <w:t>worldobesity</w:t>
      </w:r>
      <w:r w:rsidRPr="00FC55DB">
        <w:rPr>
          <w:rStyle w:val="None"/>
          <w:sz w:val="28"/>
          <w:szCs w:val="28"/>
          <w:lang w:val="ru-RU"/>
        </w:rPr>
        <w:t>.</w:t>
      </w:r>
      <w:r>
        <w:rPr>
          <w:rStyle w:val="None"/>
          <w:sz w:val="28"/>
          <w:szCs w:val="28"/>
          <w:lang w:val="en-US"/>
        </w:rPr>
        <w:t>org</w:t>
      </w:r>
      <w:r w:rsidRPr="00FC55DB">
        <w:rPr>
          <w:rStyle w:val="None"/>
          <w:sz w:val="28"/>
          <w:szCs w:val="28"/>
          <w:lang w:val="ru-RU"/>
        </w:rPr>
        <w:t>/</w:t>
      </w:r>
      <w:r>
        <w:rPr>
          <w:rStyle w:val="None"/>
          <w:sz w:val="28"/>
          <w:szCs w:val="28"/>
          <w:lang w:val="en-US"/>
        </w:rPr>
        <w:t>country</w:t>
      </w:r>
      <w:r w:rsidRPr="00FC55DB">
        <w:rPr>
          <w:rStyle w:val="None"/>
          <w:sz w:val="28"/>
          <w:szCs w:val="28"/>
          <w:lang w:val="ru-RU"/>
        </w:rPr>
        <w:t>/</w:t>
      </w:r>
      <w:r>
        <w:rPr>
          <w:rStyle w:val="None"/>
          <w:sz w:val="28"/>
          <w:szCs w:val="28"/>
          <w:lang w:val="en-US"/>
        </w:rPr>
        <w:t>ukraine</w:t>
      </w:r>
      <w:r w:rsidRPr="00FC55DB">
        <w:rPr>
          <w:rStyle w:val="None"/>
          <w:sz w:val="28"/>
          <w:szCs w:val="28"/>
          <w:lang w:val="ru-RU"/>
        </w:rPr>
        <w:t>-224/</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Chakravarthy, M. V., Booth, F. W. Eating, exercise, and "thrifty" genotypes: connecting the dots toward an evolutionary understanding of modern chronic diseases. J</w:t>
      </w:r>
      <w:r w:rsidRPr="00FC55DB">
        <w:rPr>
          <w:rStyle w:val="None"/>
          <w:sz w:val="28"/>
          <w:szCs w:val="28"/>
          <w:lang w:val="ru-RU"/>
        </w:rPr>
        <w:t xml:space="preserve"> </w:t>
      </w:r>
      <w:r>
        <w:rPr>
          <w:rStyle w:val="None"/>
          <w:sz w:val="28"/>
          <w:szCs w:val="28"/>
          <w:lang w:val="en-US"/>
        </w:rPr>
        <w:t>Appl</w:t>
      </w:r>
      <w:r w:rsidRPr="00FC55DB">
        <w:rPr>
          <w:rStyle w:val="None"/>
          <w:sz w:val="28"/>
          <w:szCs w:val="28"/>
          <w:lang w:val="ru-RU"/>
        </w:rPr>
        <w:t xml:space="preserve"> </w:t>
      </w:r>
      <w:r>
        <w:rPr>
          <w:rStyle w:val="None"/>
          <w:sz w:val="28"/>
          <w:szCs w:val="28"/>
          <w:lang w:val="en-US"/>
        </w:rPr>
        <w:t>Physiol</w:t>
      </w:r>
      <w:r w:rsidRPr="00FC55DB">
        <w:rPr>
          <w:rStyle w:val="None"/>
          <w:sz w:val="28"/>
          <w:szCs w:val="28"/>
          <w:lang w:val="ru-RU"/>
        </w:rPr>
        <w:t xml:space="preserve"> [</w:t>
      </w:r>
      <w:r>
        <w:rPr>
          <w:rStyle w:val="None"/>
          <w:sz w:val="28"/>
          <w:szCs w:val="28"/>
        </w:rPr>
        <w:t>Інтернет]. 2004;96(1):3–</w:t>
      </w:r>
      <w:r>
        <w:rPr>
          <w:rStyle w:val="None"/>
          <w:sz w:val="28"/>
          <w:szCs w:val="28"/>
          <w:lang w:val="pt-PT"/>
        </w:rPr>
        <w:t>10 [</w:t>
      </w:r>
      <w:r>
        <w:rPr>
          <w:rStyle w:val="None"/>
          <w:sz w:val="28"/>
          <w:szCs w:val="28"/>
        </w:rPr>
        <w:t xml:space="preserve">цитовано </w:t>
      </w:r>
      <w:r>
        <w:rPr>
          <w:rStyle w:val="None"/>
          <w:sz w:val="28"/>
          <w:szCs w:val="28"/>
          <w:lang w:val="ru-RU"/>
        </w:rPr>
        <w:t>1 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/10.1152/</w:t>
      </w:r>
      <w:r>
        <w:rPr>
          <w:rStyle w:val="None"/>
          <w:sz w:val="28"/>
          <w:szCs w:val="28"/>
          <w:lang w:val="en-US"/>
        </w:rPr>
        <w:t>japplphysiol</w:t>
      </w:r>
      <w:r w:rsidRPr="00FC55DB">
        <w:rPr>
          <w:rStyle w:val="None"/>
          <w:sz w:val="28"/>
          <w:szCs w:val="28"/>
          <w:lang w:val="ru-RU"/>
        </w:rPr>
        <w:t>.00757.2003</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 xml:space="preserve">Speakman, J. R. Thrifty genes for obesity, an attractive but flawed idea, and an alternative perspective: the </w:t>
      </w:r>
      <w:r>
        <w:rPr>
          <w:rStyle w:val="None"/>
          <w:rFonts w:ascii="Arial Unicode MS" w:hAnsi="Arial Unicode MS"/>
          <w:sz w:val="28"/>
          <w:szCs w:val="28"/>
          <w:rtl/>
          <w:lang w:val="ar-SA"/>
        </w:rPr>
        <w:t>‘</w:t>
      </w:r>
      <w:r>
        <w:rPr>
          <w:rStyle w:val="None"/>
          <w:sz w:val="28"/>
          <w:szCs w:val="28"/>
        </w:rPr>
        <w:t>drifty gene</w:t>
      </w:r>
      <w:r>
        <w:rPr>
          <w:rStyle w:val="None"/>
          <w:rFonts w:ascii="Arial Unicode MS" w:hAnsi="Arial Unicode MS"/>
          <w:sz w:val="28"/>
          <w:szCs w:val="28"/>
          <w:rtl/>
          <w:lang w:val="ar-SA"/>
        </w:rPr>
        <w:t xml:space="preserve">’ </w:t>
      </w:r>
      <w:r>
        <w:rPr>
          <w:rStyle w:val="None"/>
          <w:sz w:val="28"/>
          <w:szCs w:val="28"/>
          <w:lang w:val="en-US"/>
        </w:rPr>
        <w:t>hypothesis. Int</w:t>
      </w:r>
      <w:r w:rsidRPr="00FC55DB">
        <w:rPr>
          <w:rStyle w:val="None"/>
          <w:sz w:val="28"/>
          <w:szCs w:val="28"/>
          <w:lang w:val="ru-RU"/>
        </w:rPr>
        <w:t xml:space="preserve"> </w:t>
      </w:r>
      <w:r>
        <w:rPr>
          <w:rStyle w:val="None"/>
          <w:sz w:val="28"/>
          <w:szCs w:val="28"/>
          <w:lang w:val="en-US"/>
        </w:rPr>
        <w:t>J</w:t>
      </w:r>
      <w:r w:rsidRPr="00FC55DB">
        <w:rPr>
          <w:rStyle w:val="None"/>
          <w:sz w:val="28"/>
          <w:szCs w:val="28"/>
          <w:lang w:val="ru-RU"/>
        </w:rPr>
        <w:t xml:space="preserve"> </w:t>
      </w:r>
      <w:r>
        <w:rPr>
          <w:rStyle w:val="None"/>
          <w:sz w:val="28"/>
          <w:szCs w:val="28"/>
          <w:lang w:val="en-US"/>
        </w:rPr>
        <w:t>Obes</w:t>
      </w:r>
      <w:r w:rsidRPr="00FC55DB">
        <w:rPr>
          <w:rStyle w:val="None"/>
          <w:sz w:val="28"/>
          <w:szCs w:val="28"/>
          <w:lang w:val="ru-RU"/>
        </w:rPr>
        <w:t xml:space="preserve"> [</w:t>
      </w:r>
      <w:r>
        <w:rPr>
          <w:rStyle w:val="None"/>
          <w:sz w:val="28"/>
          <w:szCs w:val="28"/>
        </w:rPr>
        <w:t xml:space="preserve">Інтернет]. </w:t>
      </w:r>
      <w:r>
        <w:rPr>
          <w:rStyle w:val="None"/>
          <w:sz w:val="28"/>
          <w:szCs w:val="28"/>
        </w:rPr>
        <w:lastRenderedPageBreak/>
        <w:t>2008;32(11):1611–</w:t>
      </w:r>
      <w:r>
        <w:rPr>
          <w:rStyle w:val="None"/>
          <w:sz w:val="28"/>
          <w:szCs w:val="28"/>
          <w:lang w:val="pt-PT"/>
        </w:rPr>
        <w:t>7 [</w:t>
      </w:r>
      <w:r>
        <w:rPr>
          <w:rStyle w:val="None"/>
          <w:sz w:val="28"/>
          <w:szCs w:val="28"/>
        </w:rPr>
        <w:t xml:space="preserve">цитовано </w:t>
      </w:r>
      <w:r>
        <w:rPr>
          <w:rStyle w:val="None"/>
          <w:sz w:val="28"/>
          <w:szCs w:val="28"/>
          <w:lang w:val="ru-RU"/>
        </w:rPr>
        <w:t>1 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/10.1038/</w:t>
      </w:r>
      <w:r>
        <w:rPr>
          <w:rStyle w:val="None"/>
          <w:sz w:val="28"/>
          <w:szCs w:val="28"/>
          <w:lang w:val="en-US"/>
        </w:rPr>
        <w:t>ijo</w:t>
      </w:r>
      <w:r w:rsidRPr="00FC55DB">
        <w:rPr>
          <w:rStyle w:val="None"/>
          <w:sz w:val="28"/>
          <w:szCs w:val="28"/>
          <w:lang w:val="ru-RU"/>
        </w:rPr>
        <w:t>.2008.161</w:t>
      </w:r>
    </w:p>
    <w:p w:rsidR="003C0557" w:rsidRDefault="00030A4E">
      <w:pPr>
        <w:pStyle w:val="BodyA"/>
        <w:numPr>
          <w:ilvl w:val="0"/>
          <w:numId w:val="10"/>
        </w:numPr>
        <w:spacing w:line="360" w:lineRule="auto"/>
        <w:jc w:val="both"/>
        <w:rPr>
          <w:sz w:val="28"/>
          <w:szCs w:val="28"/>
          <w:lang w:val="en-US"/>
        </w:rPr>
      </w:pPr>
      <w:r>
        <w:rPr>
          <w:rStyle w:val="None"/>
          <w:sz w:val="28"/>
          <w:szCs w:val="28"/>
          <w:lang w:val="en-US"/>
        </w:rPr>
        <w:t>Fuchsberger, C., Flannick, J., Teslovich, T. M., et al. The genetic architecture of type 2 diabetes. Nature [</w:t>
      </w:r>
      <w:r>
        <w:rPr>
          <w:rStyle w:val="None"/>
          <w:sz w:val="28"/>
          <w:szCs w:val="28"/>
        </w:rPr>
        <w:t>Інтернет]. 2016;536(7614):41–</w:t>
      </w:r>
      <w:r>
        <w:rPr>
          <w:rStyle w:val="None"/>
          <w:sz w:val="28"/>
          <w:szCs w:val="28"/>
          <w:lang w:val="pt-PT"/>
        </w:rPr>
        <w:t>7 [</w:t>
      </w:r>
      <w:r>
        <w:rPr>
          <w:rStyle w:val="None"/>
          <w:sz w:val="28"/>
          <w:szCs w:val="28"/>
        </w:rPr>
        <w:t xml:space="preserve">цитовано </w:t>
      </w:r>
      <w:r>
        <w:rPr>
          <w:rStyle w:val="None"/>
          <w:sz w:val="28"/>
          <w:szCs w:val="28"/>
          <w:lang w:val="ru-RU"/>
        </w:rPr>
        <w:t>1 серп</w:t>
      </w:r>
      <w:r>
        <w:rPr>
          <w:rStyle w:val="None"/>
          <w:sz w:val="28"/>
          <w:szCs w:val="28"/>
          <w:lang w:val="en-US"/>
        </w:rPr>
        <w:t xml:space="preserve">. 2024]. </w:t>
      </w:r>
      <w:r>
        <w:rPr>
          <w:rStyle w:val="None"/>
          <w:sz w:val="28"/>
          <w:szCs w:val="28"/>
        </w:rPr>
        <w:t>Доступно на</w:t>
      </w:r>
      <w:r>
        <w:rPr>
          <w:rStyle w:val="None"/>
          <w:sz w:val="28"/>
          <w:szCs w:val="28"/>
          <w:lang w:val="en-US"/>
        </w:rPr>
        <w:t>: https://doi.org/10.1038/nature18642</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Wu, G., Tam, H. C., Huang, C., et al. Lessons and applications of omics research in diabetes epidemiology. Curr</w:t>
      </w:r>
      <w:r w:rsidRPr="00FC55DB">
        <w:rPr>
          <w:rStyle w:val="None"/>
          <w:sz w:val="28"/>
          <w:szCs w:val="28"/>
          <w:lang w:val="ru-RU"/>
        </w:rPr>
        <w:t xml:space="preserve"> </w:t>
      </w:r>
      <w:r>
        <w:rPr>
          <w:rStyle w:val="None"/>
          <w:sz w:val="28"/>
          <w:szCs w:val="28"/>
          <w:lang w:val="en-US"/>
        </w:rPr>
        <w:t>Diabetes</w:t>
      </w:r>
      <w:r w:rsidRPr="00FC55DB">
        <w:rPr>
          <w:rStyle w:val="None"/>
          <w:sz w:val="28"/>
          <w:szCs w:val="28"/>
          <w:lang w:val="ru-RU"/>
        </w:rPr>
        <w:t xml:space="preserve"> </w:t>
      </w:r>
      <w:r>
        <w:rPr>
          <w:rStyle w:val="None"/>
          <w:sz w:val="28"/>
          <w:szCs w:val="28"/>
          <w:lang w:val="en-US"/>
        </w:rPr>
        <w:t>Rep</w:t>
      </w:r>
      <w:r w:rsidRPr="00FC55DB">
        <w:rPr>
          <w:rStyle w:val="None"/>
          <w:sz w:val="28"/>
          <w:szCs w:val="28"/>
          <w:lang w:val="ru-RU"/>
        </w:rPr>
        <w:t xml:space="preserve"> [</w:t>
      </w:r>
      <w:r>
        <w:rPr>
          <w:rStyle w:val="None"/>
          <w:sz w:val="28"/>
          <w:szCs w:val="28"/>
        </w:rPr>
        <w:t>Інтернет</w:t>
      </w:r>
      <w:r w:rsidRPr="00FC55DB">
        <w:rPr>
          <w:rStyle w:val="None"/>
          <w:sz w:val="28"/>
          <w:szCs w:val="28"/>
          <w:lang w:val="ru-RU"/>
        </w:rPr>
        <w:t>]. 2024 [</w:t>
      </w:r>
      <w:r>
        <w:rPr>
          <w:rStyle w:val="None"/>
          <w:sz w:val="28"/>
          <w:szCs w:val="28"/>
        </w:rPr>
        <w:t xml:space="preserve">цитовано </w:t>
      </w:r>
      <w:r>
        <w:rPr>
          <w:rStyle w:val="None"/>
          <w:sz w:val="28"/>
          <w:szCs w:val="28"/>
          <w:lang w:val="ru-RU"/>
        </w:rPr>
        <w:t>1 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/10.1007/</w:t>
      </w:r>
      <w:r>
        <w:rPr>
          <w:rStyle w:val="None"/>
          <w:sz w:val="28"/>
          <w:szCs w:val="28"/>
          <w:lang w:val="en-US"/>
        </w:rPr>
        <w:t>s</w:t>
      </w:r>
      <w:r w:rsidRPr="00FC55DB">
        <w:rPr>
          <w:rStyle w:val="None"/>
          <w:sz w:val="28"/>
          <w:szCs w:val="28"/>
          <w:lang w:val="ru-RU"/>
        </w:rPr>
        <w:t>11892-024-01533-7</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Yin, J., Sain, S., Bakolitsa, C., et al. CAGI, the Critical Assessment of Genome Interpretation, establishes progress and prospects for computational genetic variant interpretation methods. Genome</w:t>
      </w:r>
      <w:r w:rsidRPr="00FC55DB">
        <w:rPr>
          <w:rStyle w:val="None"/>
          <w:sz w:val="28"/>
          <w:szCs w:val="28"/>
          <w:lang w:val="ru-RU"/>
        </w:rPr>
        <w:t xml:space="preserve"> </w:t>
      </w:r>
      <w:r>
        <w:rPr>
          <w:rStyle w:val="None"/>
          <w:sz w:val="28"/>
          <w:szCs w:val="28"/>
          <w:lang w:val="en-US"/>
        </w:rPr>
        <w:t>Biol</w:t>
      </w:r>
      <w:r w:rsidRPr="00FC55DB">
        <w:rPr>
          <w:rStyle w:val="None"/>
          <w:sz w:val="28"/>
          <w:szCs w:val="28"/>
          <w:lang w:val="ru-RU"/>
        </w:rPr>
        <w:t xml:space="preserve"> [</w:t>
      </w:r>
      <w:r>
        <w:rPr>
          <w:rStyle w:val="None"/>
          <w:sz w:val="28"/>
          <w:szCs w:val="28"/>
        </w:rPr>
        <w:t xml:space="preserve">Інтернет]. 2024;25(1) [цитовано </w:t>
      </w:r>
      <w:r>
        <w:rPr>
          <w:rStyle w:val="None"/>
          <w:sz w:val="28"/>
          <w:szCs w:val="28"/>
          <w:lang w:val="ru-RU"/>
        </w:rPr>
        <w:t>1 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/10.1186/</w:t>
      </w:r>
      <w:r>
        <w:rPr>
          <w:rStyle w:val="None"/>
          <w:sz w:val="28"/>
          <w:szCs w:val="28"/>
          <w:lang w:val="en-US"/>
        </w:rPr>
        <w:t>s</w:t>
      </w:r>
      <w:r w:rsidRPr="00FC55DB">
        <w:rPr>
          <w:rStyle w:val="None"/>
          <w:sz w:val="28"/>
          <w:szCs w:val="28"/>
          <w:lang w:val="ru-RU"/>
        </w:rPr>
        <w:t>13059-023-03113-6</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Friedman, J. E. Obesity and gestational diabetes mellitus pathways for programming. Diabetes</w:t>
      </w:r>
      <w:r w:rsidRPr="00FC55DB">
        <w:rPr>
          <w:rStyle w:val="None"/>
          <w:sz w:val="28"/>
          <w:szCs w:val="28"/>
          <w:lang w:val="ru-RU"/>
        </w:rPr>
        <w:t xml:space="preserve"> </w:t>
      </w:r>
      <w:r>
        <w:rPr>
          <w:rStyle w:val="None"/>
          <w:sz w:val="28"/>
          <w:szCs w:val="28"/>
          <w:lang w:val="en-US"/>
        </w:rPr>
        <w:t>Care</w:t>
      </w:r>
      <w:r w:rsidRPr="00FC55DB">
        <w:rPr>
          <w:rStyle w:val="None"/>
          <w:sz w:val="28"/>
          <w:szCs w:val="28"/>
          <w:lang w:val="ru-RU"/>
        </w:rPr>
        <w:t xml:space="preserve"> [</w:t>
      </w:r>
      <w:r>
        <w:rPr>
          <w:rStyle w:val="None"/>
          <w:sz w:val="28"/>
          <w:szCs w:val="28"/>
        </w:rPr>
        <w:t>Інтернет</w:t>
      </w:r>
      <w:r>
        <w:rPr>
          <w:rStyle w:val="None"/>
          <w:sz w:val="28"/>
          <w:szCs w:val="28"/>
          <w:lang w:val="pt-PT"/>
        </w:rPr>
        <w:t>]. 2015 [</w:t>
      </w:r>
      <w:r>
        <w:rPr>
          <w:rStyle w:val="None"/>
          <w:sz w:val="28"/>
          <w:szCs w:val="28"/>
        </w:rPr>
        <w:t xml:space="preserve">цитовано </w:t>
      </w:r>
      <w:r>
        <w:rPr>
          <w:rStyle w:val="None"/>
          <w:sz w:val="28"/>
          <w:szCs w:val="28"/>
          <w:lang w:val="ru-RU"/>
        </w:rPr>
        <w:t>1 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/10.2337/</w:t>
      </w:r>
      <w:r>
        <w:rPr>
          <w:rStyle w:val="None"/>
          <w:sz w:val="28"/>
          <w:szCs w:val="28"/>
          <w:lang w:val="en-US"/>
        </w:rPr>
        <w:t>dc</w:t>
      </w:r>
      <w:r w:rsidRPr="00FC55DB">
        <w:rPr>
          <w:rStyle w:val="None"/>
          <w:sz w:val="28"/>
          <w:szCs w:val="28"/>
          <w:lang w:val="ru-RU"/>
        </w:rPr>
        <w:t>15-0628</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Heindel, J. J., Blumberg, B. Environmental obesogens: mechanisms and controversies. Annu</w:t>
      </w:r>
      <w:r w:rsidRPr="00FC55DB">
        <w:rPr>
          <w:rStyle w:val="None"/>
          <w:sz w:val="28"/>
          <w:szCs w:val="28"/>
          <w:lang w:val="ru-RU"/>
        </w:rPr>
        <w:t xml:space="preserve"> </w:t>
      </w:r>
      <w:r>
        <w:rPr>
          <w:rStyle w:val="None"/>
          <w:sz w:val="28"/>
          <w:szCs w:val="28"/>
          <w:lang w:val="en-US"/>
        </w:rPr>
        <w:t>Rev</w:t>
      </w:r>
      <w:r w:rsidRPr="00FC55DB">
        <w:rPr>
          <w:rStyle w:val="None"/>
          <w:sz w:val="28"/>
          <w:szCs w:val="28"/>
          <w:lang w:val="ru-RU"/>
        </w:rPr>
        <w:t xml:space="preserve"> </w:t>
      </w:r>
      <w:r>
        <w:rPr>
          <w:rStyle w:val="None"/>
          <w:sz w:val="28"/>
          <w:szCs w:val="28"/>
          <w:lang w:val="en-US"/>
        </w:rPr>
        <w:t>Pharmacol</w:t>
      </w:r>
      <w:r w:rsidRPr="00FC55DB">
        <w:rPr>
          <w:rStyle w:val="None"/>
          <w:sz w:val="28"/>
          <w:szCs w:val="28"/>
          <w:lang w:val="ru-RU"/>
        </w:rPr>
        <w:t xml:space="preserve"> </w:t>
      </w:r>
      <w:r>
        <w:rPr>
          <w:rStyle w:val="None"/>
          <w:sz w:val="28"/>
          <w:szCs w:val="28"/>
          <w:lang w:val="en-US"/>
        </w:rPr>
        <w:t>Toxicol</w:t>
      </w:r>
      <w:r w:rsidRPr="00FC55DB">
        <w:rPr>
          <w:rStyle w:val="None"/>
          <w:sz w:val="28"/>
          <w:szCs w:val="28"/>
          <w:lang w:val="ru-RU"/>
        </w:rPr>
        <w:t xml:space="preserve"> [</w:t>
      </w:r>
      <w:r>
        <w:rPr>
          <w:rStyle w:val="None"/>
          <w:sz w:val="28"/>
          <w:szCs w:val="28"/>
        </w:rPr>
        <w:t xml:space="preserve">Інтернет]. 2019;59:89–106 [цитовано </w:t>
      </w:r>
      <w:r>
        <w:rPr>
          <w:rStyle w:val="None"/>
          <w:sz w:val="28"/>
          <w:szCs w:val="28"/>
          <w:lang w:val="ru-RU"/>
        </w:rPr>
        <w:t>1 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/10.1146/</w:t>
      </w:r>
      <w:r>
        <w:rPr>
          <w:rStyle w:val="None"/>
          <w:sz w:val="28"/>
          <w:szCs w:val="28"/>
          <w:lang w:val="en-US"/>
        </w:rPr>
        <w:t>annurev</w:t>
      </w:r>
      <w:r w:rsidRPr="00FC55DB">
        <w:rPr>
          <w:rStyle w:val="None"/>
          <w:sz w:val="28"/>
          <w:szCs w:val="28"/>
          <w:lang w:val="ru-RU"/>
        </w:rPr>
        <w:t>-</w:t>
      </w:r>
      <w:r>
        <w:rPr>
          <w:rStyle w:val="None"/>
          <w:sz w:val="28"/>
          <w:szCs w:val="28"/>
          <w:lang w:val="en-US"/>
        </w:rPr>
        <w:t>pharmtox</w:t>
      </w:r>
      <w:r w:rsidRPr="00FC55DB">
        <w:rPr>
          <w:rStyle w:val="None"/>
          <w:sz w:val="28"/>
          <w:szCs w:val="28"/>
          <w:lang w:val="ru-RU"/>
        </w:rPr>
        <w:t>-010818-021304</w:t>
      </w:r>
    </w:p>
    <w:p w:rsidR="003C0557" w:rsidRDefault="00030A4E">
      <w:pPr>
        <w:pStyle w:val="BodyA"/>
        <w:numPr>
          <w:ilvl w:val="0"/>
          <w:numId w:val="10"/>
        </w:numPr>
        <w:spacing w:line="360" w:lineRule="auto"/>
        <w:jc w:val="both"/>
        <w:rPr>
          <w:sz w:val="28"/>
          <w:szCs w:val="28"/>
        </w:rPr>
      </w:pPr>
      <w:r>
        <w:rPr>
          <w:rStyle w:val="None"/>
          <w:sz w:val="28"/>
          <w:szCs w:val="28"/>
        </w:rPr>
        <w:t xml:space="preserve">Heindel, J. J., Howard, S., Agay-Shay, K., et al. Corrigendum to </w:t>
      </w:r>
      <w:r>
        <w:rPr>
          <w:rStyle w:val="None"/>
          <w:rFonts w:ascii="Arial Unicode MS" w:hAnsi="Arial Unicode MS"/>
          <w:sz w:val="28"/>
          <w:szCs w:val="28"/>
          <w:rtl/>
          <w:lang w:val="ar-SA"/>
        </w:rPr>
        <w:t>“</w:t>
      </w:r>
      <w:r>
        <w:rPr>
          <w:rStyle w:val="None"/>
          <w:sz w:val="28"/>
          <w:szCs w:val="28"/>
          <w:lang w:val="en-US"/>
        </w:rPr>
        <w:t>Obesity II: establishing causal links between chemical exposures and obesity</w:t>
      </w:r>
      <w:r>
        <w:rPr>
          <w:rStyle w:val="None"/>
          <w:sz w:val="28"/>
          <w:szCs w:val="28"/>
        </w:rPr>
        <w:t xml:space="preserve">” </w:t>
      </w:r>
      <w:r>
        <w:rPr>
          <w:rStyle w:val="None"/>
          <w:sz w:val="28"/>
          <w:szCs w:val="28"/>
          <w:lang w:val="it-IT"/>
        </w:rPr>
        <w:t>[Biochem. Pharmacol. 199 (2022) 115015]. Biochem Pharmacol [</w:t>
      </w:r>
      <w:r>
        <w:rPr>
          <w:rStyle w:val="None"/>
          <w:sz w:val="28"/>
          <w:szCs w:val="28"/>
        </w:rPr>
        <w:t xml:space="preserve">Інтернет]. 2023;202:115144 [цитовано </w:t>
      </w:r>
      <w:r w:rsidRPr="00FC55DB">
        <w:rPr>
          <w:rStyle w:val="None"/>
          <w:sz w:val="28"/>
          <w:szCs w:val="28"/>
          <w:lang w:val="it-IT"/>
        </w:rPr>
        <w:t xml:space="preserve">1 </w:t>
      </w:r>
      <w:r>
        <w:rPr>
          <w:rStyle w:val="None"/>
          <w:sz w:val="28"/>
          <w:szCs w:val="28"/>
          <w:lang w:val="ru-RU"/>
        </w:rPr>
        <w:t>серп</w:t>
      </w:r>
      <w:r w:rsidRPr="00FC55DB">
        <w:rPr>
          <w:rStyle w:val="None"/>
          <w:sz w:val="28"/>
          <w:szCs w:val="28"/>
          <w:lang w:val="it-IT"/>
        </w:rPr>
        <w:t xml:space="preserve">. 2024]. </w:t>
      </w:r>
      <w:r>
        <w:rPr>
          <w:rStyle w:val="None"/>
          <w:sz w:val="28"/>
          <w:szCs w:val="28"/>
        </w:rPr>
        <w:t>Доступно на</w:t>
      </w:r>
      <w:r w:rsidRPr="00FC55DB">
        <w:rPr>
          <w:rStyle w:val="None"/>
          <w:sz w:val="28"/>
          <w:szCs w:val="28"/>
          <w:lang w:val="it-IT"/>
        </w:rPr>
        <w:t>: https://doi.org/10.1016/j.bcp.2022.115144</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Creasy, S. A., Ostendorf, D. M., Blankenship, J. M., et al. Effect of sleep on weight loss and adherence to diet and physical activity recommendations during an 18-month behavioral weight loss intervention. Int</w:t>
      </w:r>
      <w:r w:rsidRPr="00FC55DB">
        <w:rPr>
          <w:rStyle w:val="None"/>
          <w:sz w:val="28"/>
          <w:szCs w:val="28"/>
          <w:lang w:val="ru-RU"/>
        </w:rPr>
        <w:t xml:space="preserve"> </w:t>
      </w:r>
      <w:r>
        <w:rPr>
          <w:rStyle w:val="None"/>
          <w:sz w:val="28"/>
          <w:szCs w:val="28"/>
          <w:lang w:val="en-US"/>
        </w:rPr>
        <w:t>J</w:t>
      </w:r>
      <w:r w:rsidRPr="00FC55DB">
        <w:rPr>
          <w:rStyle w:val="None"/>
          <w:sz w:val="28"/>
          <w:szCs w:val="28"/>
          <w:lang w:val="ru-RU"/>
        </w:rPr>
        <w:t xml:space="preserve"> </w:t>
      </w:r>
      <w:r>
        <w:rPr>
          <w:rStyle w:val="None"/>
          <w:sz w:val="28"/>
          <w:szCs w:val="28"/>
          <w:lang w:val="en-US"/>
        </w:rPr>
        <w:t>Obes</w:t>
      </w:r>
      <w:r w:rsidRPr="00FC55DB">
        <w:rPr>
          <w:rStyle w:val="None"/>
          <w:sz w:val="28"/>
          <w:szCs w:val="28"/>
          <w:lang w:val="ru-RU"/>
        </w:rPr>
        <w:t xml:space="preserve"> [</w:t>
      </w:r>
      <w:r>
        <w:rPr>
          <w:rStyle w:val="None"/>
          <w:sz w:val="28"/>
          <w:szCs w:val="28"/>
        </w:rPr>
        <w:t>Інтернет</w:t>
      </w:r>
      <w:r>
        <w:rPr>
          <w:rStyle w:val="None"/>
          <w:sz w:val="28"/>
          <w:szCs w:val="28"/>
          <w:lang w:val="pt-PT"/>
        </w:rPr>
        <w:t>]. 2022 [</w:t>
      </w:r>
      <w:r>
        <w:rPr>
          <w:rStyle w:val="None"/>
          <w:sz w:val="28"/>
          <w:szCs w:val="28"/>
        </w:rPr>
        <w:t xml:space="preserve">цитовано </w:t>
      </w:r>
      <w:r>
        <w:rPr>
          <w:rStyle w:val="None"/>
          <w:sz w:val="28"/>
          <w:szCs w:val="28"/>
          <w:lang w:val="ru-RU"/>
        </w:rPr>
        <w:t>1 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/10.1038/</w:t>
      </w:r>
      <w:r>
        <w:rPr>
          <w:rStyle w:val="None"/>
          <w:sz w:val="28"/>
          <w:szCs w:val="28"/>
          <w:lang w:val="en-US"/>
        </w:rPr>
        <w:t>s</w:t>
      </w:r>
      <w:r w:rsidRPr="00FC55DB">
        <w:rPr>
          <w:rStyle w:val="None"/>
          <w:sz w:val="28"/>
          <w:szCs w:val="28"/>
          <w:lang w:val="ru-RU"/>
        </w:rPr>
        <w:t>41366-022-01141-</w:t>
      </w:r>
      <w:r>
        <w:rPr>
          <w:rStyle w:val="None"/>
          <w:sz w:val="28"/>
          <w:szCs w:val="28"/>
          <w:lang w:val="en-US"/>
        </w:rPr>
        <w:t>z</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Creasy, S. A., Lang, W., Tate, D. F., et al. Pattern of daily steps is associated with weight loss: secondary analysis from the step-up randomized trial. Obesity</w:t>
      </w:r>
      <w:r w:rsidRPr="00FC55DB">
        <w:rPr>
          <w:rStyle w:val="None"/>
          <w:sz w:val="28"/>
          <w:szCs w:val="28"/>
          <w:lang w:val="ru-RU"/>
        </w:rPr>
        <w:t xml:space="preserve"> [</w:t>
      </w:r>
      <w:r>
        <w:rPr>
          <w:rStyle w:val="None"/>
          <w:sz w:val="28"/>
          <w:szCs w:val="28"/>
        </w:rPr>
        <w:t>Інтернет]. 2018;26(6):977–</w:t>
      </w:r>
      <w:r>
        <w:rPr>
          <w:rStyle w:val="None"/>
          <w:sz w:val="28"/>
          <w:szCs w:val="28"/>
          <w:lang w:val="pt-PT"/>
        </w:rPr>
        <w:t>84 [</w:t>
      </w:r>
      <w:r>
        <w:rPr>
          <w:rStyle w:val="None"/>
          <w:sz w:val="28"/>
          <w:szCs w:val="28"/>
        </w:rPr>
        <w:t xml:space="preserve">цитовано </w:t>
      </w:r>
      <w:r>
        <w:rPr>
          <w:rStyle w:val="None"/>
          <w:sz w:val="28"/>
          <w:szCs w:val="28"/>
          <w:lang w:val="ru-RU"/>
        </w:rPr>
        <w:t>1 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/10.1002/</w:t>
      </w:r>
      <w:r>
        <w:rPr>
          <w:rStyle w:val="None"/>
          <w:sz w:val="28"/>
          <w:szCs w:val="28"/>
          <w:lang w:val="en-US"/>
        </w:rPr>
        <w:t>oby</w:t>
      </w:r>
      <w:r w:rsidRPr="00FC55DB">
        <w:rPr>
          <w:rStyle w:val="None"/>
          <w:sz w:val="28"/>
          <w:szCs w:val="28"/>
          <w:lang w:val="ru-RU"/>
        </w:rPr>
        <w:t>.22171</w:t>
      </w:r>
    </w:p>
    <w:p w:rsidR="003C0557" w:rsidRDefault="00030A4E">
      <w:pPr>
        <w:pStyle w:val="BodyA"/>
        <w:numPr>
          <w:ilvl w:val="0"/>
          <w:numId w:val="10"/>
        </w:numPr>
        <w:spacing w:line="360" w:lineRule="auto"/>
        <w:jc w:val="both"/>
        <w:rPr>
          <w:sz w:val="28"/>
          <w:szCs w:val="28"/>
          <w:lang w:val="en-US"/>
        </w:rPr>
      </w:pPr>
      <w:r>
        <w:rPr>
          <w:rStyle w:val="None"/>
          <w:sz w:val="28"/>
          <w:szCs w:val="28"/>
          <w:lang w:val="en-US"/>
        </w:rPr>
        <w:lastRenderedPageBreak/>
        <w:t>Loos, R. J. The genetics of adiposity. Curr Opin Genet Dev [</w:t>
      </w:r>
      <w:r>
        <w:rPr>
          <w:rStyle w:val="None"/>
          <w:sz w:val="28"/>
          <w:szCs w:val="28"/>
        </w:rPr>
        <w:t>Інтернет]. 2018;50:86–</w:t>
      </w:r>
      <w:r>
        <w:rPr>
          <w:rStyle w:val="None"/>
          <w:sz w:val="28"/>
          <w:szCs w:val="28"/>
          <w:lang w:val="pt-PT"/>
        </w:rPr>
        <w:t>95 [</w:t>
      </w:r>
      <w:r>
        <w:rPr>
          <w:rStyle w:val="None"/>
          <w:sz w:val="28"/>
          <w:szCs w:val="28"/>
        </w:rPr>
        <w:t xml:space="preserve">цитовано 2 </w:t>
      </w:r>
      <w:r>
        <w:rPr>
          <w:rStyle w:val="None"/>
          <w:sz w:val="28"/>
          <w:szCs w:val="28"/>
          <w:lang w:val="ru-RU"/>
        </w:rPr>
        <w:t>серп</w:t>
      </w:r>
      <w:r>
        <w:rPr>
          <w:rStyle w:val="None"/>
          <w:sz w:val="28"/>
          <w:szCs w:val="28"/>
          <w:lang w:val="en-US"/>
        </w:rPr>
        <w:t xml:space="preserve">. 2024]. </w:t>
      </w:r>
      <w:r>
        <w:rPr>
          <w:rStyle w:val="None"/>
          <w:sz w:val="28"/>
          <w:szCs w:val="28"/>
        </w:rPr>
        <w:t>Доступно на</w:t>
      </w:r>
      <w:r>
        <w:rPr>
          <w:rStyle w:val="None"/>
          <w:sz w:val="28"/>
          <w:szCs w:val="28"/>
          <w:lang w:val="en-US"/>
        </w:rPr>
        <w:t>: https://doi.org/10.1016/j.gde.2018.02.009</w:t>
      </w:r>
    </w:p>
    <w:p w:rsidR="003C0557" w:rsidRDefault="00030A4E">
      <w:pPr>
        <w:pStyle w:val="BodyA"/>
        <w:numPr>
          <w:ilvl w:val="0"/>
          <w:numId w:val="10"/>
        </w:numPr>
        <w:spacing w:line="360" w:lineRule="auto"/>
        <w:jc w:val="both"/>
        <w:rPr>
          <w:sz w:val="28"/>
          <w:szCs w:val="28"/>
          <w:lang w:val="es-ES_tradnl"/>
        </w:rPr>
      </w:pPr>
      <w:r>
        <w:rPr>
          <w:rStyle w:val="None"/>
          <w:sz w:val="28"/>
          <w:szCs w:val="28"/>
          <w:lang w:val="es-ES_tradnl"/>
        </w:rPr>
        <w:t>Fern</w:t>
      </w:r>
      <w:r>
        <w:rPr>
          <w:rStyle w:val="None"/>
          <w:sz w:val="28"/>
          <w:szCs w:val="28"/>
        </w:rPr>
        <w:t>á</w:t>
      </w:r>
      <w:r>
        <w:rPr>
          <w:rStyle w:val="None"/>
          <w:sz w:val="28"/>
          <w:szCs w:val="28"/>
          <w:lang w:val="en-US"/>
        </w:rPr>
        <w:t>ndez-Verdejo, R., Aguirre, C., Galgani, J. E. Issues in measuring and interpreting energy balance and its contribution to obesity. Curr</w:t>
      </w:r>
      <w:r w:rsidRPr="00FC55DB">
        <w:rPr>
          <w:rStyle w:val="None"/>
          <w:sz w:val="28"/>
          <w:szCs w:val="28"/>
          <w:lang w:val="ru-RU"/>
        </w:rPr>
        <w:t xml:space="preserve"> </w:t>
      </w:r>
      <w:r>
        <w:rPr>
          <w:rStyle w:val="None"/>
          <w:sz w:val="28"/>
          <w:szCs w:val="28"/>
          <w:lang w:val="en-US"/>
        </w:rPr>
        <w:t>Obes</w:t>
      </w:r>
      <w:r w:rsidRPr="00FC55DB">
        <w:rPr>
          <w:rStyle w:val="None"/>
          <w:sz w:val="28"/>
          <w:szCs w:val="28"/>
          <w:lang w:val="ru-RU"/>
        </w:rPr>
        <w:t xml:space="preserve"> </w:t>
      </w:r>
      <w:r>
        <w:rPr>
          <w:rStyle w:val="None"/>
          <w:sz w:val="28"/>
          <w:szCs w:val="28"/>
          <w:lang w:val="en-US"/>
        </w:rPr>
        <w:t>Rep</w:t>
      </w:r>
      <w:r w:rsidRPr="00FC55DB">
        <w:rPr>
          <w:rStyle w:val="None"/>
          <w:sz w:val="28"/>
          <w:szCs w:val="28"/>
          <w:lang w:val="ru-RU"/>
        </w:rPr>
        <w:t xml:space="preserve"> [</w:t>
      </w:r>
      <w:r>
        <w:rPr>
          <w:rStyle w:val="None"/>
          <w:sz w:val="28"/>
          <w:szCs w:val="28"/>
        </w:rPr>
        <w:t>Інтернет]. 2019;8(2):88–</w:t>
      </w:r>
      <w:r>
        <w:rPr>
          <w:rStyle w:val="None"/>
          <w:sz w:val="28"/>
          <w:szCs w:val="28"/>
          <w:lang w:val="pt-PT"/>
        </w:rPr>
        <w:t>97 [</w:t>
      </w:r>
      <w:r>
        <w:rPr>
          <w:rStyle w:val="None"/>
          <w:sz w:val="28"/>
          <w:szCs w:val="28"/>
        </w:rPr>
        <w:t xml:space="preserve">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/10.1007/</w:t>
      </w:r>
      <w:r>
        <w:rPr>
          <w:rStyle w:val="None"/>
          <w:sz w:val="28"/>
          <w:szCs w:val="28"/>
          <w:lang w:val="en-US"/>
        </w:rPr>
        <w:t>s</w:t>
      </w:r>
      <w:r w:rsidRPr="00FC55DB">
        <w:rPr>
          <w:rStyle w:val="None"/>
          <w:sz w:val="28"/>
          <w:szCs w:val="28"/>
          <w:lang w:val="ru-RU"/>
        </w:rPr>
        <w:t>13679-019-00339-</w:t>
      </w:r>
      <w:r>
        <w:rPr>
          <w:rStyle w:val="None"/>
          <w:sz w:val="28"/>
          <w:szCs w:val="28"/>
          <w:lang w:val="en-US"/>
        </w:rPr>
        <w:t>z</w:t>
      </w:r>
    </w:p>
    <w:p w:rsidR="003C0557" w:rsidRDefault="00030A4E">
      <w:pPr>
        <w:pStyle w:val="BodyA"/>
        <w:numPr>
          <w:ilvl w:val="0"/>
          <w:numId w:val="10"/>
        </w:numPr>
        <w:spacing w:line="360" w:lineRule="auto"/>
        <w:jc w:val="both"/>
        <w:rPr>
          <w:sz w:val="28"/>
          <w:szCs w:val="28"/>
          <w:lang w:val="pt-PT"/>
        </w:rPr>
      </w:pPr>
      <w:r>
        <w:rPr>
          <w:rStyle w:val="None"/>
          <w:sz w:val="28"/>
          <w:szCs w:val="28"/>
          <w:lang w:val="pt-PT"/>
        </w:rPr>
        <w:t>Liu, B. N., Liu, X. T., Liang, Z. H., Wang, J. H. Gut microbiota in obesity. World J Gastroenterol [</w:t>
      </w:r>
      <w:r>
        <w:rPr>
          <w:rStyle w:val="None"/>
          <w:sz w:val="28"/>
          <w:szCs w:val="28"/>
        </w:rPr>
        <w:t>Інтернет]. 2021;27(25):3837–</w:t>
      </w:r>
      <w:r>
        <w:rPr>
          <w:rStyle w:val="None"/>
          <w:sz w:val="28"/>
          <w:szCs w:val="28"/>
          <w:lang w:val="pt-PT"/>
        </w:rPr>
        <w:t>50 [</w:t>
      </w:r>
      <w:r>
        <w:rPr>
          <w:rStyle w:val="None"/>
          <w:sz w:val="28"/>
          <w:szCs w:val="28"/>
        </w:rPr>
        <w:t xml:space="preserve">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 https://doi.org/10.3748/wjg.v27.i25.3837</w:t>
      </w:r>
    </w:p>
    <w:p w:rsidR="003C0557" w:rsidRDefault="00030A4E">
      <w:pPr>
        <w:pStyle w:val="BodyA"/>
        <w:numPr>
          <w:ilvl w:val="0"/>
          <w:numId w:val="10"/>
        </w:numPr>
        <w:spacing w:line="360" w:lineRule="auto"/>
        <w:jc w:val="both"/>
        <w:rPr>
          <w:sz w:val="28"/>
          <w:szCs w:val="28"/>
          <w:lang w:val="en-US"/>
        </w:rPr>
      </w:pPr>
      <w:r>
        <w:rPr>
          <w:rStyle w:val="None"/>
          <w:sz w:val="28"/>
          <w:szCs w:val="28"/>
          <w:lang w:val="en-US"/>
        </w:rPr>
        <w:t>Noncommunicable diseases: risk factors. Global Health Observatory data. Geneva: World Health Organization; 2022 [</w:t>
      </w:r>
      <w:r>
        <w:rPr>
          <w:rStyle w:val="None"/>
          <w:sz w:val="28"/>
          <w:szCs w:val="28"/>
        </w:rPr>
        <w:t>цитовано 12 квіт</w:t>
      </w:r>
      <w:r>
        <w:rPr>
          <w:rStyle w:val="None"/>
          <w:sz w:val="28"/>
          <w:szCs w:val="28"/>
          <w:lang w:val="pt-PT"/>
        </w:rPr>
        <w:t xml:space="preserve">. 2023]. </w:t>
      </w:r>
      <w:r>
        <w:rPr>
          <w:rStyle w:val="None"/>
          <w:sz w:val="28"/>
          <w:szCs w:val="28"/>
        </w:rPr>
        <w:t>Доступно на</w:t>
      </w:r>
      <w:r>
        <w:rPr>
          <w:rStyle w:val="None"/>
          <w:sz w:val="28"/>
          <w:szCs w:val="28"/>
          <w:lang w:val="en-US"/>
        </w:rPr>
        <w:t>: https://www.who.int/data/gho/data/themes/topics/topic-details/GHO/ncd-risk-factors</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Wardle, J., Carnell, S., Haworth, C. M., Plomin, R. Evidence for a strong genetic influence on childhood adiposity despite the force of the obesogenic environment. Am</w:t>
      </w:r>
      <w:r w:rsidRPr="00FC55DB">
        <w:rPr>
          <w:rStyle w:val="None"/>
          <w:sz w:val="28"/>
          <w:szCs w:val="28"/>
          <w:lang w:val="ru-RU"/>
        </w:rPr>
        <w:t xml:space="preserve"> </w:t>
      </w:r>
      <w:r>
        <w:rPr>
          <w:rStyle w:val="None"/>
          <w:sz w:val="28"/>
          <w:szCs w:val="28"/>
          <w:lang w:val="en-US"/>
        </w:rPr>
        <w:t>J</w:t>
      </w:r>
      <w:r w:rsidRPr="00FC55DB">
        <w:rPr>
          <w:rStyle w:val="None"/>
          <w:sz w:val="28"/>
          <w:szCs w:val="28"/>
          <w:lang w:val="ru-RU"/>
        </w:rPr>
        <w:t xml:space="preserve"> </w:t>
      </w:r>
      <w:r>
        <w:rPr>
          <w:rStyle w:val="None"/>
          <w:sz w:val="28"/>
          <w:szCs w:val="28"/>
          <w:lang w:val="en-US"/>
        </w:rPr>
        <w:t>Clin</w:t>
      </w:r>
      <w:r w:rsidRPr="00FC55DB">
        <w:rPr>
          <w:rStyle w:val="None"/>
          <w:sz w:val="28"/>
          <w:szCs w:val="28"/>
          <w:lang w:val="ru-RU"/>
        </w:rPr>
        <w:t xml:space="preserve"> </w:t>
      </w:r>
      <w:r>
        <w:rPr>
          <w:rStyle w:val="None"/>
          <w:sz w:val="28"/>
          <w:szCs w:val="28"/>
          <w:lang w:val="en-US"/>
        </w:rPr>
        <w:t>Nutr</w:t>
      </w:r>
      <w:r w:rsidRPr="00FC55DB">
        <w:rPr>
          <w:rStyle w:val="None"/>
          <w:sz w:val="28"/>
          <w:szCs w:val="28"/>
          <w:lang w:val="ru-RU"/>
        </w:rPr>
        <w:t xml:space="preserve"> [</w:t>
      </w:r>
      <w:r>
        <w:rPr>
          <w:rStyle w:val="None"/>
          <w:sz w:val="28"/>
          <w:szCs w:val="28"/>
        </w:rPr>
        <w:t xml:space="preserve">Інтернет]. 2008;87(2):398–404 [цитовано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/10.1093/</w:t>
      </w:r>
      <w:r>
        <w:rPr>
          <w:rStyle w:val="None"/>
          <w:sz w:val="28"/>
          <w:szCs w:val="28"/>
          <w:lang w:val="en-US"/>
        </w:rPr>
        <w:t>ajcn</w:t>
      </w:r>
      <w:r w:rsidRPr="00FC55DB">
        <w:rPr>
          <w:rStyle w:val="None"/>
          <w:sz w:val="28"/>
          <w:szCs w:val="28"/>
          <w:lang w:val="ru-RU"/>
        </w:rPr>
        <w:t>/87.2.398</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Bouchard, C. Genetics of obesity: what we have learned over decades of research. Obesity</w:t>
      </w:r>
      <w:r w:rsidRPr="00FC55DB">
        <w:rPr>
          <w:rStyle w:val="None"/>
          <w:sz w:val="28"/>
          <w:szCs w:val="28"/>
          <w:lang w:val="ru-RU"/>
        </w:rPr>
        <w:t xml:space="preserve"> [</w:t>
      </w:r>
      <w:r>
        <w:rPr>
          <w:rStyle w:val="None"/>
          <w:sz w:val="28"/>
          <w:szCs w:val="28"/>
        </w:rPr>
        <w:t>Інтернет]. 2021;29(3):802–</w:t>
      </w:r>
      <w:r>
        <w:rPr>
          <w:rStyle w:val="None"/>
          <w:sz w:val="28"/>
          <w:szCs w:val="28"/>
          <w:lang w:val="pt-PT"/>
        </w:rPr>
        <w:t>20 [</w:t>
      </w:r>
      <w:r>
        <w:rPr>
          <w:rStyle w:val="None"/>
          <w:sz w:val="28"/>
          <w:szCs w:val="28"/>
        </w:rPr>
        <w:t xml:space="preserve">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/10.1002/</w:t>
      </w:r>
      <w:r>
        <w:rPr>
          <w:rStyle w:val="None"/>
          <w:sz w:val="28"/>
          <w:szCs w:val="28"/>
          <w:lang w:val="en-US"/>
        </w:rPr>
        <w:t>oby</w:t>
      </w:r>
      <w:r w:rsidRPr="00FC55DB">
        <w:rPr>
          <w:rStyle w:val="None"/>
          <w:sz w:val="28"/>
          <w:szCs w:val="28"/>
          <w:lang w:val="ru-RU"/>
        </w:rPr>
        <w:t>.23116</w:t>
      </w:r>
    </w:p>
    <w:p w:rsidR="003C0557" w:rsidRDefault="00030A4E">
      <w:pPr>
        <w:pStyle w:val="BodyA"/>
        <w:numPr>
          <w:ilvl w:val="0"/>
          <w:numId w:val="10"/>
        </w:numPr>
        <w:spacing w:line="360" w:lineRule="auto"/>
        <w:jc w:val="both"/>
        <w:rPr>
          <w:sz w:val="28"/>
          <w:szCs w:val="28"/>
          <w:lang w:val="en-US"/>
        </w:rPr>
      </w:pPr>
      <w:r>
        <w:rPr>
          <w:rStyle w:val="None"/>
          <w:sz w:val="28"/>
          <w:szCs w:val="28"/>
          <w:lang w:val="en-US"/>
        </w:rPr>
        <w:t>Narayan, K. M., Boyle, J. P., Thompson, T. J., Gregg, E. W., Williamson, D. F. Effect of BMI on lifetime risk for diabetes in the U.S. Diabetes Care [</w:t>
      </w:r>
      <w:r>
        <w:rPr>
          <w:rStyle w:val="None"/>
          <w:sz w:val="28"/>
          <w:szCs w:val="28"/>
        </w:rPr>
        <w:t>Інтернет]. 2007;30(6):1562–</w:t>
      </w:r>
      <w:r>
        <w:rPr>
          <w:rStyle w:val="None"/>
          <w:sz w:val="28"/>
          <w:szCs w:val="28"/>
          <w:lang w:val="pt-PT"/>
        </w:rPr>
        <w:t>6 [</w:t>
      </w:r>
      <w:r>
        <w:rPr>
          <w:rStyle w:val="None"/>
          <w:sz w:val="28"/>
          <w:szCs w:val="28"/>
        </w:rPr>
        <w:t xml:space="preserve">цитовано 2 </w:t>
      </w:r>
      <w:r>
        <w:rPr>
          <w:rStyle w:val="None"/>
          <w:sz w:val="28"/>
          <w:szCs w:val="28"/>
          <w:lang w:val="ru-RU"/>
        </w:rPr>
        <w:t>серп</w:t>
      </w:r>
      <w:r>
        <w:rPr>
          <w:rStyle w:val="None"/>
          <w:sz w:val="28"/>
          <w:szCs w:val="28"/>
          <w:lang w:val="en-US"/>
        </w:rPr>
        <w:t xml:space="preserve">. 2024]. </w:t>
      </w:r>
      <w:r>
        <w:rPr>
          <w:rStyle w:val="None"/>
          <w:sz w:val="28"/>
          <w:szCs w:val="28"/>
        </w:rPr>
        <w:t>Доступно на</w:t>
      </w:r>
      <w:r>
        <w:rPr>
          <w:rStyle w:val="None"/>
          <w:sz w:val="28"/>
          <w:szCs w:val="28"/>
          <w:lang w:val="en-US"/>
        </w:rPr>
        <w:t>: https://doi.org/10.2337/dc06-2544</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Scuteri, A., Sanna, S., Chen, W. M., et al. Genome-wide association scan shows genetic variants in the FTO gene are associated with obesity-related traits. PLoS</w:t>
      </w:r>
      <w:r w:rsidRPr="00FC55DB">
        <w:rPr>
          <w:rStyle w:val="None"/>
          <w:sz w:val="28"/>
          <w:szCs w:val="28"/>
          <w:lang w:val="ru-RU"/>
        </w:rPr>
        <w:t xml:space="preserve"> </w:t>
      </w:r>
      <w:r>
        <w:rPr>
          <w:rStyle w:val="None"/>
          <w:sz w:val="28"/>
          <w:szCs w:val="28"/>
          <w:lang w:val="en-US"/>
        </w:rPr>
        <w:t>Genet</w:t>
      </w:r>
      <w:r w:rsidRPr="00FC55DB">
        <w:rPr>
          <w:rStyle w:val="None"/>
          <w:sz w:val="28"/>
          <w:szCs w:val="28"/>
          <w:lang w:val="ru-RU"/>
        </w:rPr>
        <w:t xml:space="preserve"> [</w:t>
      </w:r>
      <w:r>
        <w:rPr>
          <w:rStyle w:val="None"/>
          <w:sz w:val="28"/>
          <w:szCs w:val="28"/>
        </w:rPr>
        <w:t xml:space="preserve">Інтернет]. 2007;3(7):e115 [цитовано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Pr>
          <w:rStyle w:val="None"/>
          <w:sz w:val="28"/>
          <w:szCs w:val="28"/>
          <w:lang w:val="nl-NL"/>
        </w:rPr>
        <w:t>: https://doi.org/10.1371/journal.pgen.0030115</w:t>
      </w:r>
    </w:p>
    <w:p w:rsidR="003C0557" w:rsidRDefault="00030A4E">
      <w:pPr>
        <w:pStyle w:val="BodyA"/>
        <w:numPr>
          <w:ilvl w:val="0"/>
          <w:numId w:val="10"/>
        </w:numPr>
        <w:spacing w:line="360" w:lineRule="auto"/>
        <w:jc w:val="both"/>
        <w:rPr>
          <w:sz w:val="28"/>
          <w:szCs w:val="28"/>
        </w:rPr>
      </w:pPr>
      <w:r>
        <w:rPr>
          <w:rStyle w:val="None"/>
          <w:sz w:val="28"/>
          <w:szCs w:val="28"/>
        </w:rPr>
        <w:t>Kilpelä</w:t>
      </w:r>
      <w:r>
        <w:rPr>
          <w:rStyle w:val="None"/>
          <w:sz w:val="28"/>
          <w:szCs w:val="28"/>
          <w:lang w:val="en-US"/>
        </w:rPr>
        <w:t xml:space="preserve">inen, T. O., Qi, L., Brage, S., et al. Physical activity attenuates the influence of FTO variants on obesity risk: a meta-analysis of 218,166 adults and 19,268 children. </w:t>
      </w:r>
      <w:r>
        <w:rPr>
          <w:rStyle w:val="None"/>
          <w:sz w:val="28"/>
          <w:szCs w:val="28"/>
          <w:lang w:val="en-US"/>
        </w:rPr>
        <w:lastRenderedPageBreak/>
        <w:t>PLoS</w:t>
      </w:r>
      <w:r w:rsidRPr="00FC55DB">
        <w:rPr>
          <w:rStyle w:val="None"/>
          <w:sz w:val="28"/>
          <w:szCs w:val="28"/>
          <w:lang w:val="ru-RU"/>
        </w:rPr>
        <w:t xml:space="preserve"> </w:t>
      </w:r>
      <w:r>
        <w:rPr>
          <w:rStyle w:val="None"/>
          <w:sz w:val="28"/>
          <w:szCs w:val="28"/>
          <w:lang w:val="en-US"/>
        </w:rPr>
        <w:t>Med</w:t>
      </w:r>
      <w:r w:rsidRPr="00FC55DB">
        <w:rPr>
          <w:rStyle w:val="None"/>
          <w:sz w:val="28"/>
          <w:szCs w:val="28"/>
          <w:lang w:val="ru-RU"/>
        </w:rPr>
        <w:t xml:space="preserve"> [</w:t>
      </w:r>
      <w:r>
        <w:rPr>
          <w:rStyle w:val="None"/>
          <w:sz w:val="28"/>
          <w:szCs w:val="28"/>
        </w:rPr>
        <w:t xml:space="preserve">Інтернет]. 2011;8(11):e1001116 [цитовано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/10.1371/</w:t>
      </w:r>
      <w:r>
        <w:rPr>
          <w:rStyle w:val="None"/>
          <w:sz w:val="28"/>
          <w:szCs w:val="28"/>
          <w:lang w:val="en-US"/>
        </w:rPr>
        <w:t>journal</w:t>
      </w:r>
      <w:r w:rsidRPr="00FC55DB">
        <w:rPr>
          <w:rStyle w:val="None"/>
          <w:sz w:val="28"/>
          <w:szCs w:val="28"/>
          <w:lang w:val="ru-RU"/>
        </w:rPr>
        <w:t>.</w:t>
      </w:r>
      <w:r>
        <w:rPr>
          <w:rStyle w:val="None"/>
          <w:sz w:val="28"/>
          <w:szCs w:val="28"/>
          <w:lang w:val="en-US"/>
        </w:rPr>
        <w:t>pmed</w:t>
      </w:r>
      <w:r w:rsidRPr="00FC55DB">
        <w:rPr>
          <w:rStyle w:val="None"/>
          <w:sz w:val="28"/>
          <w:szCs w:val="28"/>
          <w:lang w:val="ru-RU"/>
        </w:rPr>
        <w:t>.1001116</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Redondo, M. J., Oram, R. A., Steck, A. K. Genetic risk scores for type 1 diabetes prediction and diagnosis. Curr</w:t>
      </w:r>
      <w:r w:rsidRPr="00FC55DB">
        <w:rPr>
          <w:rStyle w:val="None"/>
          <w:sz w:val="28"/>
          <w:szCs w:val="28"/>
          <w:lang w:val="ru-RU"/>
        </w:rPr>
        <w:t xml:space="preserve"> </w:t>
      </w:r>
      <w:r>
        <w:rPr>
          <w:rStyle w:val="None"/>
          <w:sz w:val="28"/>
          <w:szCs w:val="28"/>
          <w:lang w:val="en-US"/>
        </w:rPr>
        <w:t>Diabetes</w:t>
      </w:r>
      <w:r w:rsidRPr="00FC55DB">
        <w:rPr>
          <w:rStyle w:val="None"/>
          <w:sz w:val="28"/>
          <w:szCs w:val="28"/>
          <w:lang w:val="ru-RU"/>
        </w:rPr>
        <w:t xml:space="preserve"> </w:t>
      </w:r>
      <w:r>
        <w:rPr>
          <w:rStyle w:val="None"/>
          <w:sz w:val="28"/>
          <w:szCs w:val="28"/>
          <w:lang w:val="en-US"/>
        </w:rPr>
        <w:t>Rep</w:t>
      </w:r>
      <w:r w:rsidRPr="00FC55DB">
        <w:rPr>
          <w:rStyle w:val="None"/>
          <w:sz w:val="28"/>
          <w:szCs w:val="28"/>
          <w:lang w:val="ru-RU"/>
        </w:rPr>
        <w:t xml:space="preserve"> [</w:t>
      </w:r>
      <w:r>
        <w:rPr>
          <w:rStyle w:val="None"/>
          <w:sz w:val="28"/>
          <w:szCs w:val="28"/>
        </w:rPr>
        <w:t xml:space="preserve">Інтернет]. 2017;17(12) [цитовано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/10.1007/</w:t>
      </w:r>
      <w:r>
        <w:rPr>
          <w:rStyle w:val="None"/>
          <w:sz w:val="28"/>
          <w:szCs w:val="28"/>
          <w:lang w:val="en-US"/>
        </w:rPr>
        <w:t>s</w:t>
      </w:r>
      <w:r w:rsidRPr="00FC55DB">
        <w:rPr>
          <w:rStyle w:val="None"/>
          <w:sz w:val="28"/>
          <w:szCs w:val="28"/>
          <w:lang w:val="ru-RU"/>
        </w:rPr>
        <w:t>11892-017-0961-5</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Pihoker, C., Virtanen, S. I., Laippala, P., et al. Models for predicting type 1 diabetes in siblings of affected children. Diabetes</w:t>
      </w:r>
      <w:r w:rsidRPr="00FC55DB">
        <w:rPr>
          <w:rStyle w:val="None"/>
          <w:sz w:val="28"/>
          <w:szCs w:val="28"/>
          <w:lang w:val="ru-RU"/>
        </w:rPr>
        <w:t xml:space="preserve"> </w:t>
      </w:r>
      <w:r>
        <w:rPr>
          <w:rStyle w:val="None"/>
          <w:sz w:val="28"/>
          <w:szCs w:val="28"/>
          <w:lang w:val="en-US"/>
        </w:rPr>
        <w:t>Care</w:t>
      </w:r>
      <w:r w:rsidRPr="00FC55DB">
        <w:rPr>
          <w:rStyle w:val="None"/>
          <w:sz w:val="28"/>
          <w:szCs w:val="28"/>
          <w:lang w:val="ru-RU"/>
        </w:rPr>
        <w:t xml:space="preserve"> [</w:t>
      </w:r>
      <w:r>
        <w:rPr>
          <w:rStyle w:val="None"/>
          <w:sz w:val="28"/>
          <w:szCs w:val="28"/>
        </w:rPr>
        <w:t>Інтернет]. 2006;29(3):662–</w:t>
      </w:r>
      <w:r>
        <w:rPr>
          <w:rStyle w:val="None"/>
          <w:sz w:val="28"/>
          <w:szCs w:val="28"/>
          <w:lang w:val="pt-PT"/>
        </w:rPr>
        <w:t>7 [</w:t>
      </w:r>
      <w:r>
        <w:rPr>
          <w:rStyle w:val="None"/>
          <w:sz w:val="28"/>
          <w:szCs w:val="28"/>
        </w:rPr>
        <w:t xml:space="preserve">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/10.2337/</w:t>
      </w:r>
      <w:r>
        <w:rPr>
          <w:rStyle w:val="None"/>
          <w:sz w:val="28"/>
          <w:szCs w:val="28"/>
          <w:lang w:val="en-US"/>
        </w:rPr>
        <w:t>diacare</w:t>
      </w:r>
      <w:r w:rsidRPr="00FC55DB">
        <w:rPr>
          <w:rStyle w:val="None"/>
          <w:sz w:val="28"/>
          <w:szCs w:val="28"/>
          <w:lang w:val="ru-RU"/>
        </w:rPr>
        <w:t>.29.03.06.</w:t>
      </w:r>
      <w:r>
        <w:rPr>
          <w:rStyle w:val="None"/>
          <w:sz w:val="28"/>
          <w:szCs w:val="28"/>
          <w:lang w:val="en-US"/>
        </w:rPr>
        <w:t>dc</w:t>
      </w:r>
      <w:r w:rsidRPr="00FC55DB">
        <w:rPr>
          <w:rStyle w:val="None"/>
          <w:sz w:val="28"/>
          <w:szCs w:val="28"/>
          <w:lang w:val="ru-RU"/>
        </w:rPr>
        <w:t>05-0774</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 xml:space="preserve">Flannick, J., Kaur, S., Pociot, F. Genes affecting </w:t>
      </w:r>
      <w:r>
        <w:rPr>
          <w:rStyle w:val="None"/>
          <w:sz w:val="28"/>
          <w:szCs w:val="28"/>
        </w:rPr>
        <w:t>β</w:t>
      </w:r>
      <w:r>
        <w:rPr>
          <w:rStyle w:val="None"/>
          <w:sz w:val="28"/>
          <w:szCs w:val="28"/>
          <w:lang w:val="en-US"/>
        </w:rPr>
        <w:t>-cell function in type 1 diabetes. Curr</w:t>
      </w:r>
      <w:r w:rsidRPr="00FC55DB">
        <w:rPr>
          <w:rStyle w:val="None"/>
          <w:sz w:val="28"/>
          <w:szCs w:val="28"/>
          <w:lang w:val="ru-RU"/>
        </w:rPr>
        <w:t xml:space="preserve"> </w:t>
      </w:r>
      <w:r>
        <w:rPr>
          <w:rStyle w:val="None"/>
          <w:sz w:val="28"/>
          <w:szCs w:val="28"/>
          <w:lang w:val="en-US"/>
        </w:rPr>
        <w:t>Diabetes</w:t>
      </w:r>
      <w:r w:rsidRPr="00FC55DB">
        <w:rPr>
          <w:rStyle w:val="None"/>
          <w:sz w:val="28"/>
          <w:szCs w:val="28"/>
          <w:lang w:val="ru-RU"/>
        </w:rPr>
        <w:t xml:space="preserve"> </w:t>
      </w:r>
      <w:r>
        <w:rPr>
          <w:rStyle w:val="None"/>
          <w:sz w:val="28"/>
          <w:szCs w:val="28"/>
          <w:lang w:val="en-US"/>
        </w:rPr>
        <w:t>Rep</w:t>
      </w:r>
      <w:r w:rsidRPr="00FC55DB">
        <w:rPr>
          <w:rStyle w:val="None"/>
          <w:sz w:val="28"/>
          <w:szCs w:val="28"/>
          <w:lang w:val="ru-RU"/>
        </w:rPr>
        <w:t xml:space="preserve"> [</w:t>
      </w:r>
      <w:r>
        <w:rPr>
          <w:rStyle w:val="None"/>
          <w:sz w:val="28"/>
          <w:szCs w:val="28"/>
        </w:rPr>
        <w:t xml:space="preserve">Інтернет]. 2015;15(11) [цитовано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/10.1007/</w:t>
      </w:r>
      <w:r>
        <w:rPr>
          <w:rStyle w:val="None"/>
          <w:sz w:val="28"/>
          <w:szCs w:val="28"/>
          <w:lang w:val="en-US"/>
        </w:rPr>
        <w:t>s</w:t>
      </w:r>
      <w:r w:rsidRPr="00FC55DB">
        <w:rPr>
          <w:rStyle w:val="None"/>
          <w:sz w:val="28"/>
          <w:szCs w:val="28"/>
          <w:lang w:val="ru-RU"/>
        </w:rPr>
        <w:t>11892-015-0655-9</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 xml:space="preserve">Groop, L., Pociot, F. Genetics of diabetes </w:t>
      </w:r>
      <w:r>
        <w:rPr>
          <w:rStyle w:val="None"/>
          <w:sz w:val="28"/>
          <w:szCs w:val="28"/>
        </w:rPr>
        <w:t xml:space="preserve">– </w:t>
      </w:r>
      <w:r>
        <w:rPr>
          <w:rStyle w:val="None"/>
          <w:sz w:val="28"/>
          <w:szCs w:val="28"/>
          <w:lang w:val="en-US"/>
        </w:rPr>
        <w:t>are we missing the genes or the disease? Mol</w:t>
      </w:r>
      <w:r w:rsidRPr="00FC55DB">
        <w:rPr>
          <w:rStyle w:val="None"/>
          <w:sz w:val="28"/>
          <w:szCs w:val="28"/>
          <w:lang w:val="ru-RU"/>
        </w:rPr>
        <w:t xml:space="preserve"> </w:t>
      </w:r>
      <w:r>
        <w:rPr>
          <w:rStyle w:val="None"/>
          <w:sz w:val="28"/>
          <w:szCs w:val="28"/>
          <w:lang w:val="en-US"/>
        </w:rPr>
        <w:t>Cell</w:t>
      </w:r>
      <w:r w:rsidRPr="00FC55DB">
        <w:rPr>
          <w:rStyle w:val="None"/>
          <w:sz w:val="28"/>
          <w:szCs w:val="28"/>
          <w:lang w:val="ru-RU"/>
        </w:rPr>
        <w:t xml:space="preserve"> </w:t>
      </w:r>
      <w:r>
        <w:rPr>
          <w:rStyle w:val="None"/>
          <w:sz w:val="28"/>
          <w:szCs w:val="28"/>
          <w:lang w:val="en-US"/>
        </w:rPr>
        <w:t>Endocrinol</w:t>
      </w:r>
      <w:r w:rsidRPr="00FC55DB">
        <w:rPr>
          <w:rStyle w:val="None"/>
          <w:sz w:val="28"/>
          <w:szCs w:val="28"/>
          <w:lang w:val="ru-RU"/>
        </w:rPr>
        <w:t xml:space="preserve"> [</w:t>
      </w:r>
      <w:r>
        <w:rPr>
          <w:rStyle w:val="None"/>
          <w:sz w:val="28"/>
          <w:szCs w:val="28"/>
        </w:rPr>
        <w:t>Інтернет]. 2014;382(1):726–</w:t>
      </w:r>
      <w:r>
        <w:rPr>
          <w:rStyle w:val="None"/>
          <w:sz w:val="28"/>
          <w:szCs w:val="28"/>
          <w:lang w:val="pt-PT"/>
        </w:rPr>
        <w:t>39 [</w:t>
      </w:r>
      <w:r>
        <w:rPr>
          <w:rStyle w:val="None"/>
          <w:sz w:val="28"/>
          <w:szCs w:val="28"/>
        </w:rPr>
        <w:t xml:space="preserve">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/10.1016/</w:t>
      </w:r>
      <w:r>
        <w:rPr>
          <w:rStyle w:val="None"/>
          <w:sz w:val="28"/>
          <w:szCs w:val="28"/>
          <w:lang w:val="en-US"/>
        </w:rPr>
        <w:t>j</w:t>
      </w:r>
      <w:r w:rsidRPr="00FC55DB">
        <w:rPr>
          <w:rStyle w:val="None"/>
          <w:sz w:val="28"/>
          <w:szCs w:val="28"/>
          <w:lang w:val="ru-RU"/>
        </w:rPr>
        <w:t>.</w:t>
      </w:r>
      <w:r>
        <w:rPr>
          <w:rStyle w:val="None"/>
          <w:sz w:val="28"/>
          <w:szCs w:val="28"/>
          <w:lang w:val="en-US"/>
        </w:rPr>
        <w:t>mce</w:t>
      </w:r>
      <w:r w:rsidRPr="00FC55DB">
        <w:rPr>
          <w:rStyle w:val="None"/>
          <w:sz w:val="28"/>
          <w:szCs w:val="28"/>
          <w:lang w:val="ru-RU"/>
        </w:rPr>
        <w:t>.2013.04.002</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Willemsen, G., Ward, K. J., Bell, C. G., et al. The concordance and heritability of type 2 diabetes in 34,166 twin pairs from international twin registers: the discordant twin (DISCOTWIN) consortium. Twin</w:t>
      </w:r>
      <w:r w:rsidRPr="00FC55DB">
        <w:rPr>
          <w:rStyle w:val="None"/>
          <w:sz w:val="28"/>
          <w:szCs w:val="28"/>
          <w:lang w:val="ru-RU"/>
        </w:rPr>
        <w:t xml:space="preserve"> </w:t>
      </w:r>
      <w:r>
        <w:rPr>
          <w:rStyle w:val="None"/>
          <w:sz w:val="28"/>
          <w:szCs w:val="28"/>
          <w:lang w:val="en-US"/>
        </w:rPr>
        <w:t>Res</w:t>
      </w:r>
      <w:r w:rsidRPr="00FC55DB">
        <w:rPr>
          <w:rStyle w:val="None"/>
          <w:sz w:val="28"/>
          <w:szCs w:val="28"/>
          <w:lang w:val="ru-RU"/>
        </w:rPr>
        <w:t xml:space="preserve"> </w:t>
      </w:r>
      <w:r>
        <w:rPr>
          <w:rStyle w:val="None"/>
          <w:sz w:val="28"/>
          <w:szCs w:val="28"/>
          <w:lang w:val="en-US"/>
        </w:rPr>
        <w:t>Hum</w:t>
      </w:r>
      <w:r w:rsidRPr="00FC55DB">
        <w:rPr>
          <w:rStyle w:val="None"/>
          <w:sz w:val="28"/>
          <w:szCs w:val="28"/>
          <w:lang w:val="ru-RU"/>
        </w:rPr>
        <w:t xml:space="preserve"> </w:t>
      </w:r>
      <w:r>
        <w:rPr>
          <w:rStyle w:val="None"/>
          <w:sz w:val="28"/>
          <w:szCs w:val="28"/>
          <w:lang w:val="en-US"/>
        </w:rPr>
        <w:t>Genet</w:t>
      </w:r>
      <w:r w:rsidRPr="00FC55DB">
        <w:rPr>
          <w:rStyle w:val="None"/>
          <w:sz w:val="28"/>
          <w:szCs w:val="28"/>
          <w:lang w:val="ru-RU"/>
        </w:rPr>
        <w:t xml:space="preserve"> [</w:t>
      </w:r>
      <w:r>
        <w:rPr>
          <w:rStyle w:val="None"/>
          <w:sz w:val="28"/>
          <w:szCs w:val="28"/>
        </w:rPr>
        <w:t>Інтернет]. 2015;18(6):762–</w:t>
      </w:r>
      <w:r>
        <w:rPr>
          <w:rStyle w:val="None"/>
          <w:sz w:val="28"/>
          <w:szCs w:val="28"/>
          <w:lang w:val="pt-PT"/>
        </w:rPr>
        <w:t>71 [</w:t>
      </w:r>
      <w:r>
        <w:rPr>
          <w:rStyle w:val="None"/>
          <w:sz w:val="28"/>
          <w:szCs w:val="28"/>
        </w:rPr>
        <w:t xml:space="preserve">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/10.1017/</w:t>
      </w:r>
      <w:r>
        <w:rPr>
          <w:rStyle w:val="None"/>
          <w:sz w:val="28"/>
          <w:szCs w:val="28"/>
          <w:lang w:val="en-US"/>
        </w:rPr>
        <w:t>thg</w:t>
      </w:r>
      <w:r w:rsidRPr="00FC55DB">
        <w:rPr>
          <w:rStyle w:val="None"/>
          <w:sz w:val="28"/>
          <w:szCs w:val="28"/>
          <w:lang w:val="ru-RU"/>
        </w:rPr>
        <w:t>.2015.83</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Hara, K., Shojima, N., Hosoe, J., Kadowaki, T. Genetic architecture of type 2 diabetes. Biochem</w:t>
      </w:r>
      <w:r w:rsidRPr="00FC55DB">
        <w:rPr>
          <w:rStyle w:val="None"/>
          <w:sz w:val="28"/>
          <w:szCs w:val="28"/>
          <w:lang w:val="ru-RU"/>
        </w:rPr>
        <w:t xml:space="preserve"> </w:t>
      </w:r>
      <w:r>
        <w:rPr>
          <w:rStyle w:val="None"/>
          <w:sz w:val="28"/>
          <w:szCs w:val="28"/>
          <w:lang w:val="en-US"/>
        </w:rPr>
        <w:t>Biophys</w:t>
      </w:r>
      <w:r w:rsidRPr="00FC55DB">
        <w:rPr>
          <w:rStyle w:val="None"/>
          <w:sz w:val="28"/>
          <w:szCs w:val="28"/>
          <w:lang w:val="ru-RU"/>
        </w:rPr>
        <w:t xml:space="preserve"> </w:t>
      </w:r>
      <w:r>
        <w:rPr>
          <w:rStyle w:val="None"/>
          <w:sz w:val="28"/>
          <w:szCs w:val="28"/>
          <w:lang w:val="en-US"/>
        </w:rPr>
        <w:t>Res</w:t>
      </w:r>
      <w:r w:rsidRPr="00FC55DB">
        <w:rPr>
          <w:rStyle w:val="None"/>
          <w:sz w:val="28"/>
          <w:szCs w:val="28"/>
          <w:lang w:val="ru-RU"/>
        </w:rPr>
        <w:t xml:space="preserve"> </w:t>
      </w:r>
      <w:r>
        <w:rPr>
          <w:rStyle w:val="None"/>
          <w:sz w:val="28"/>
          <w:szCs w:val="28"/>
          <w:lang w:val="en-US"/>
        </w:rPr>
        <w:t>Commun</w:t>
      </w:r>
      <w:r w:rsidRPr="00FC55DB">
        <w:rPr>
          <w:rStyle w:val="None"/>
          <w:sz w:val="28"/>
          <w:szCs w:val="28"/>
          <w:lang w:val="ru-RU"/>
        </w:rPr>
        <w:t xml:space="preserve"> [</w:t>
      </w:r>
      <w:r>
        <w:rPr>
          <w:rStyle w:val="None"/>
          <w:sz w:val="28"/>
          <w:szCs w:val="28"/>
        </w:rPr>
        <w:t>Інтернет]. 2014;452(2):213–</w:t>
      </w:r>
      <w:r>
        <w:rPr>
          <w:rStyle w:val="None"/>
          <w:sz w:val="28"/>
          <w:szCs w:val="28"/>
          <w:lang w:val="pt-PT"/>
        </w:rPr>
        <w:t>20 [</w:t>
      </w:r>
      <w:r>
        <w:rPr>
          <w:rStyle w:val="None"/>
          <w:sz w:val="28"/>
          <w:szCs w:val="28"/>
        </w:rPr>
        <w:t xml:space="preserve">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/10.1016/</w:t>
      </w:r>
      <w:r>
        <w:rPr>
          <w:rStyle w:val="None"/>
          <w:sz w:val="28"/>
          <w:szCs w:val="28"/>
          <w:lang w:val="en-US"/>
        </w:rPr>
        <w:t>j</w:t>
      </w:r>
      <w:r w:rsidRPr="00FC55DB">
        <w:rPr>
          <w:rStyle w:val="None"/>
          <w:sz w:val="28"/>
          <w:szCs w:val="28"/>
          <w:lang w:val="ru-RU"/>
        </w:rPr>
        <w:t>.</w:t>
      </w:r>
      <w:r>
        <w:rPr>
          <w:rStyle w:val="None"/>
          <w:sz w:val="28"/>
          <w:szCs w:val="28"/>
          <w:lang w:val="en-US"/>
        </w:rPr>
        <w:t>bbrc</w:t>
      </w:r>
      <w:r w:rsidRPr="00FC55DB">
        <w:rPr>
          <w:rStyle w:val="None"/>
          <w:sz w:val="28"/>
          <w:szCs w:val="28"/>
          <w:lang w:val="ru-RU"/>
        </w:rPr>
        <w:t>.2014.08.012</w:t>
      </w:r>
    </w:p>
    <w:p w:rsidR="003C0557" w:rsidRPr="00FC55DB" w:rsidRDefault="00030A4E">
      <w:pPr>
        <w:pStyle w:val="BodyA"/>
        <w:numPr>
          <w:ilvl w:val="0"/>
          <w:numId w:val="10"/>
        </w:numPr>
        <w:spacing w:line="360" w:lineRule="auto"/>
        <w:jc w:val="both"/>
        <w:rPr>
          <w:sz w:val="28"/>
          <w:szCs w:val="28"/>
          <w:lang w:val="ru-RU"/>
        </w:rPr>
      </w:pPr>
      <w:r>
        <w:rPr>
          <w:rStyle w:val="None"/>
          <w:sz w:val="28"/>
          <w:szCs w:val="28"/>
          <w:lang w:val="en-US"/>
        </w:rPr>
        <w:t>Tattersall, R. B., Fajans, S. S. Prevalence of diabetes and glucose intolerance in 199 offspring of thirty-seven conjugal diabetic parents. Diabetes</w:t>
      </w:r>
      <w:r w:rsidRPr="00FC55DB">
        <w:rPr>
          <w:rStyle w:val="None"/>
          <w:sz w:val="28"/>
          <w:szCs w:val="28"/>
          <w:lang w:val="ru-RU"/>
        </w:rPr>
        <w:t xml:space="preserve"> [</w:t>
      </w:r>
      <w:r>
        <w:rPr>
          <w:rStyle w:val="None"/>
          <w:sz w:val="28"/>
          <w:szCs w:val="28"/>
        </w:rPr>
        <w:t>Інтернет]. 1975;24(5):452–</w:t>
      </w:r>
      <w:r>
        <w:rPr>
          <w:rStyle w:val="None"/>
          <w:sz w:val="28"/>
          <w:szCs w:val="28"/>
          <w:lang w:val="pt-PT"/>
        </w:rPr>
        <w:t>62 [</w:t>
      </w:r>
      <w:r>
        <w:rPr>
          <w:rStyle w:val="None"/>
          <w:sz w:val="28"/>
          <w:szCs w:val="28"/>
        </w:rPr>
        <w:t xml:space="preserve">цитовано 2 </w:t>
      </w:r>
      <w:r>
        <w:rPr>
          <w:rStyle w:val="None"/>
          <w:sz w:val="28"/>
          <w:szCs w:val="28"/>
          <w:lang w:val="ru-RU"/>
        </w:rPr>
        <w:t>серп</w:t>
      </w:r>
      <w:r w:rsidRPr="00FC55DB">
        <w:rPr>
          <w:rStyle w:val="None"/>
          <w:sz w:val="28"/>
          <w:szCs w:val="28"/>
          <w:lang w:val="ru-RU"/>
        </w:rPr>
        <w:t xml:space="preserve">. 2024]. </w:t>
      </w:r>
      <w:r>
        <w:rPr>
          <w:rStyle w:val="None"/>
          <w:sz w:val="28"/>
          <w:szCs w:val="28"/>
        </w:rPr>
        <w:t>Доступно на</w:t>
      </w:r>
      <w:r w:rsidRPr="00FC55DB">
        <w:rPr>
          <w:rStyle w:val="None"/>
          <w:sz w:val="28"/>
          <w:szCs w:val="28"/>
          <w:lang w:val="ru-RU"/>
        </w:rPr>
        <w:t xml:space="preserve">: </w:t>
      </w:r>
      <w:r>
        <w:rPr>
          <w:rStyle w:val="None"/>
          <w:sz w:val="28"/>
          <w:szCs w:val="28"/>
          <w:lang w:val="en-US"/>
        </w:rPr>
        <w:t>https</w:t>
      </w:r>
      <w:r w:rsidRPr="00FC55DB">
        <w:rPr>
          <w:rStyle w:val="None"/>
          <w:sz w:val="28"/>
          <w:szCs w:val="28"/>
          <w:lang w:val="ru-RU"/>
        </w:rPr>
        <w:t>://</w:t>
      </w:r>
      <w:r>
        <w:rPr>
          <w:rStyle w:val="None"/>
          <w:sz w:val="28"/>
          <w:szCs w:val="28"/>
          <w:lang w:val="en-US"/>
        </w:rPr>
        <w:t>doi</w:t>
      </w:r>
      <w:r w:rsidRPr="00FC55DB">
        <w:rPr>
          <w:rStyle w:val="None"/>
          <w:sz w:val="28"/>
          <w:szCs w:val="28"/>
          <w:lang w:val="ru-RU"/>
        </w:rPr>
        <w:t>.</w:t>
      </w:r>
      <w:r>
        <w:rPr>
          <w:rStyle w:val="None"/>
          <w:sz w:val="28"/>
          <w:szCs w:val="28"/>
          <w:lang w:val="en-US"/>
        </w:rPr>
        <w:t>org</w:t>
      </w:r>
      <w:r w:rsidRPr="00FC55DB">
        <w:rPr>
          <w:rStyle w:val="None"/>
          <w:sz w:val="28"/>
          <w:szCs w:val="28"/>
          <w:lang w:val="ru-RU"/>
        </w:rPr>
        <w:t>/10.2337/</w:t>
      </w:r>
      <w:r>
        <w:rPr>
          <w:rStyle w:val="None"/>
          <w:sz w:val="28"/>
          <w:szCs w:val="28"/>
          <w:lang w:val="en-US"/>
        </w:rPr>
        <w:t>diab</w:t>
      </w:r>
      <w:r w:rsidRPr="00FC55DB">
        <w:rPr>
          <w:rStyle w:val="None"/>
          <w:sz w:val="28"/>
          <w:szCs w:val="28"/>
          <w:lang w:val="ru-RU"/>
        </w:rPr>
        <w:t>.24.5.452</w:t>
      </w:r>
    </w:p>
    <w:sectPr w:rsidR="003C0557" w:rsidRPr="00FC55DB" w:rsidSect="00851B36">
      <w:headerReference w:type="default" r:id="rId10"/>
      <w:footerReference w:type="default" r:id="rId11"/>
      <w:headerReference w:type="first" r:id="rId12"/>
      <w:footerReference w:type="first" r:id="rId13"/>
      <w:pgSz w:w="11900" w:h="16840"/>
      <w:pgMar w:top="1134" w:right="567" w:bottom="1134" w:left="1134" w:header="709" w:footer="851"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649E9" w:rsidRDefault="00C649E9">
      <w:r>
        <w:separator/>
      </w:r>
    </w:p>
  </w:endnote>
  <w:endnote w:type="continuationSeparator" w:id="0">
    <w:p w:rsidR="00C649E9" w:rsidRDefault="00C649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imes Roman">
    <w:altName w:val="Times New Roman"/>
    <w:charset w:val="00"/>
    <w:family w:val="roman"/>
    <w:pitch w:val="default"/>
  </w:font>
  <w:font w:name="Helvetica Neue">
    <w:altName w:val="Arial"/>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6122A" w:rsidRDefault="00E6122A">
    <w:pPr>
      <w:pStyle w:val="HeaderFooter"/>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6122A" w:rsidRDefault="00E6122A">
    <w:pPr>
      <w:pStyle w:val="HeaderFooter"/>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649E9" w:rsidRDefault="00C649E9">
      <w:r>
        <w:separator/>
      </w:r>
    </w:p>
  </w:footnote>
  <w:footnote w:type="continuationSeparator" w:id="0">
    <w:p w:rsidR="00C649E9" w:rsidRDefault="00C649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6122A" w:rsidRDefault="007C1246">
    <w:pPr>
      <w:pStyle w:val="HeaderFooterA"/>
      <w:jc w:val="right"/>
      <w:rPr>
        <w:rFonts w:hint="eastAsia"/>
      </w:rPr>
    </w:pPr>
    <w:r>
      <w:rPr>
        <w:rFonts w:ascii="Times New Roman" w:hAnsi="Times New Roman"/>
        <w:sz w:val="28"/>
        <w:szCs w:val="28"/>
      </w:rPr>
      <w:fldChar w:fldCharType="begin"/>
    </w:r>
    <w:r w:rsidR="00E6122A">
      <w:rPr>
        <w:rFonts w:ascii="Times New Roman" w:hAnsi="Times New Roman"/>
        <w:sz w:val="28"/>
        <w:szCs w:val="28"/>
      </w:rPr>
      <w:instrText xml:space="preserve"> PAGE </w:instrText>
    </w:r>
    <w:r>
      <w:rPr>
        <w:rFonts w:ascii="Times New Roman" w:hAnsi="Times New Roman"/>
        <w:sz w:val="28"/>
        <w:szCs w:val="28"/>
      </w:rPr>
      <w:fldChar w:fldCharType="separate"/>
    </w:r>
    <w:r w:rsidR="00B572B6">
      <w:rPr>
        <w:rFonts w:ascii="Times New Roman" w:hAnsi="Times New Roman"/>
        <w:noProof/>
        <w:sz w:val="28"/>
        <w:szCs w:val="28"/>
      </w:rPr>
      <w:t>64</w:t>
    </w:r>
    <w:r>
      <w:rPr>
        <w:rFonts w:ascii="Times New Roman" w:hAnsi="Times New Roman"/>
        <w:sz w:val="28"/>
        <w:szCs w:val="2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6122A" w:rsidRDefault="00E6122A">
    <w:pPr>
      <w:pStyle w:val="HeaderFooter"/>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75048C"/>
    <w:multiLevelType w:val="hybridMultilevel"/>
    <w:tmpl w:val="24E02578"/>
    <w:numStyleLink w:val="Numbered"/>
  </w:abstractNum>
  <w:abstractNum w:abstractNumId="1" w15:restartNumberingAfterBreak="0">
    <w:nsid w:val="122D79B3"/>
    <w:multiLevelType w:val="hybridMultilevel"/>
    <w:tmpl w:val="26ECACEA"/>
    <w:styleLink w:val="Numbered0"/>
    <w:lvl w:ilvl="0" w:tplc="3F74C800">
      <w:start w:val="1"/>
      <w:numFmt w:val="decimal"/>
      <w:lvlText w:val="%1."/>
      <w:lvlJc w:val="left"/>
      <w:pPr>
        <w:tabs>
          <w:tab w:val="num" w:pos="1015"/>
        </w:tabs>
        <w:ind w:left="295" w:firstLine="425"/>
      </w:pPr>
      <w:rPr>
        <w:rFonts w:hAnsi="Arial Unicode MS"/>
        <w:caps w:val="0"/>
        <w:smallCaps w:val="0"/>
        <w:strike w:val="0"/>
        <w:dstrike w:val="0"/>
        <w:outline w:val="0"/>
        <w:emboss w:val="0"/>
        <w:imprint w:val="0"/>
        <w:spacing w:val="0"/>
        <w:w w:val="100"/>
        <w:kern w:val="0"/>
        <w:position w:val="0"/>
        <w:highlight w:val="none"/>
        <w:vertAlign w:val="baseline"/>
      </w:rPr>
    </w:lvl>
    <w:lvl w:ilvl="1" w:tplc="56847598">
      <w:start w:val="1"/>
      <w:numFmt w:val="decimal"/>
      <w:lvlText w:val="%2."/>
      <w:lvlJc w:val="left"/>
      <w:pPr>
        <w:tabs>
          <w:tab w:val="left" w:pos="1015"/>
          <w:tab w:val="num" w:pos="1815"/>
        </w:tabs>
        <w:ind w:left="1095" w:firstLine="425"/>
      </w:pPr>
      <w:rPr>
        <w:rFonts w:hAnsi="Arial Unicode MS"/>
        <w:caps w:val="0"/>
        <w:smallCaps w:val="0"/>
        <w:strike w:val="0"/>
        <w:dstrike w:val="0"/>
        <w:outline w:val="0"/>
        <w:emboss w:val="0"/>
        <w:imprint w:val="0"/>
        <w:spacing w:val="0"/>
        <w:w w:val="100"/>
        <w:kern w:val="0"/>
        <w:position w:val="0"/>
        <w:highlight w:val="none"/>
        <w:vertAlign w:val="baseline"/>
      </w:rPr>
    </w:lvl>
    <w:lvl w:ilvl="2" w:tplc="C57A86D6">
      <w:start w:val="1"/>
      <w:numFmt w:val="decimal"/>
      <w:lvlText w:val="%3."/>
      <w:lvlJc w:val="left"/>
      <w:pPr>
        <w:tabs>
          <w:tab w:val="left" w:pos="1015"/>
          <w:tab w:val="num" w:pos="2615"/>
        </w:tabs>
        <w:ind w:left="1895" w:firstLine="425"/>
      </w:pPr>
      <w:rPr>
        <w:rFonts w:hAnsi="Arial Unicode MS"/>
        <w:caps w:val="0"/>
        <w:smallCaps w:val="0"/>
        <w:strike w:val="0"/>
        <w:dstrike w:val="0"/>
        <w:outline w:val="0"/>
        <w:emboss w:val="0"/>
        <w:imprint w:val="0"/>
        <w:spacing w:val="0"/>
        <w:w w:val="100"/>
        <w:kern w:val="0"/>
        <w:position w:val="0"/>
        <w:highlight w:val="none"/>
        <w:vertAlign w:val="baseline"/>
      </w:rPr>
    </w:lvl>
    <w:lvl w:ilvl="3" w:tplc="2A7C4D9A">
      <w:start w:val="1"/>
      <w:numFmt w:val="decimal"/>
      <w:lvlText w:val="%4."/>
      <w:lvlJc w:val="left"/>
      <w:pPr>
        <w:tabs>
          <w:tab w:val="left" w:pos="1015"/>
          <w:tab w:val="num" w:pos="3415"/>
        </w:tabs>
        <w:ind w:left="2695" w:firstLine="425"/>
      </w:pPr>
      <w:rPr>
        <w:rFonts w:hAnsi="Arial Unicode MS"/>
        <w:caps w:val="0"/>
        <w:smallCaps w:val="0"/>
        <w:strike w:val="0"/>
        <w:dstrike w:val="0"/>
        <w:outline w:val="0"/>
        <w:emboss w:val="0"/>
        <w:imprint w:val="0"/>
        <w:spacing w:val="0"/>
        <w:w w:val="100"/>
        <w:kern w:val="0"/>
        <w:position w:val="0"/>
        <w:highlight w:val="none"/>
        <w:vertAlign w:val="baseline"/>
      </w:rPr>
    </w:lvl>
    <w:lvl w:ilvl="4" w:tplc="A55AEBE8">
      <w:start w:val="1"/>
      <w:numFmt w:val="decimal"/>
      <w:lvlText w:val="%5."/>
      <w:lvlJc w:val="left"/>
      <w:pPr>
        <w:tabs>
          <w:tab w:val="left" w:pos="1015"/>
          <w:tab w:val="num" w:pos="4215"/>
        </w:tabs>
        <w:ind w:left="3495" w:firstLine="425"/>
      </w:pPr>
      <w:rPr>
        <w:rFonts w:hAnsi="Arial Unicode MS"/>
        <w:caps w:val="0"/>
        <w:smallCaps w:val="0"/>
        <w:strike w:val="0"/>
        <w:dstrike w:val="0"/>
        <w:outline w:val="0"/>
        <w:emboss w:val="0"/>
        <w:imprint w:val="0"/>
        <w:spacing w:val="0"/>
        <w:w w:val="100"/>
        <w:kern w:val="0"/>
        <w:position w:val="0"/>
        <w:highlight w:val="none"/>
        <w:vertAlign w:val="baseline"/>
      </w:rPr>
    </w:lvl>
    <w:lvl w:ilvl="5" w:tplc="C60E887A">
      <w:start w:val="1"/>
      <w:numFmt w:val="decimal"/>
      <w:lvlText w:val="%6."/>
      <w:lvlJc w:val="left"/>
      <w:pPr>
        <w:tabs>
          <w:tab w:val="left" w:pos="1015"/>
          <w:tab w:val="num" w:pos="5015"/>
        </w:tabs>
        <w:ind w:left="4295" w:firstLine="425"/>
      </w:pPr>
      <w:rPr>
        <w:rFonts w:hAnsi="Arial Unicode MS"/>
        <w:caps w:val="0"/>
        <w:smallCaps w:val="0"/>
        <w:strike w:val="0"/>
        <w:dstrike w:val="0"/>
        <w:outline w:val="0"/>
        <w:emboss w:val="0"/>
        <w:imprint w:val="0"/>
        <w:spacing w:val="0"/>
        <w:w w:val="100"/>
        <w:kern w:val="0"/>
        <w:position w:val="0"/>
        <w:highlight w:val="none"/>
        <w:vertAlign w:val="baseline"/>
      </w:rPr>
    </w:lvl>
    <w:lvl w:ilvl="6" w:tplc="1C123A2A">
      <w:start w:val="1"/>
      <w:numFmt w:val="decimal"/>
      <w:lvlText w:val="%7."/>
      <w:lvlJc w:val="left"/>
      <w:pPr>
        <w:tabs>
          <w:tab w:val="left" w:pos="1015"/>
          <w:tab w:val="num" w:pos="5815"/>
        </w:tabs>
        <w:ind w:left="5095" w:firstLine="425"/>
      </w:pPr>
      <w:rPr>
        <w:rFonts w:hAnsi="Arial Unicode MS"/>
        <w:caps w:val="0"/>
        <w:smallCaps w:val="0"/>
        <w:strike w:val="0"/>
        <w:dstrike w:val="0"/>
        <w:outline w:val="0"/>
        <w:emboss w:val="0"/>
        <w:imprint w:val="0"/>
        <w:spacing w:val="0"/>
        <w:w w:val="100"/>
        <w:kern w:val="0"/>
        <w:position w:val="0"/>
        <w:highlight w:val="none"/>
        <w:vertAlign w:val="baseline"/>
      </w:rPr>
    </w:lvl>
    <w:lvl w:ilvl="7" w:tplc="B87AA8AE">
      <w:start w:val="1"/>
      <w:numFmt w:val="decimal"/>
      <w:lvlText w:val="%8."/>
      <w:lvlJc w:val="left"/>
      <w:pPr>
        <w:tabs>
          <w:tab w:val="left" w:pos="1015"/>
          <w:tab w:val="num" w:pos="6615"/>
        </w:tabs>
        <w:ind w:left="5895" w:firstLine="425"/>
      </w:pPr>
      <w:rPr>
        <w:rFonts w:hAnsi="Arial Unicode MS"/>
        <w:caps w:val="0"/>
        <w:smallCaps w:val="0"/>
        <w:strike w:val="0"/>
        <w:dstrike w:val="0"/>
        <w:outline w:val="0"/>
        <w:emboss w:val="0"/>
        <w:imprint w:val="0"/>
        <w:spacing w:val="0"/>
        <w:w w:val="100"/>
        <w:kern w:val="0"/>
        <w:position w:val="0"/>
        <w:highlight w:val="none"/>
        <w:vertAlign w:val="baseline"/>
      </w:rPr>
    </w:lvl>
    <w:lvl w:ilvl="8" w:tplc="BF4A06FE">
      <w:start w:val="1"/>
      <w:numFmt w:val="decimal"/>
      <w:lvlText w:val="%9."/>
      <w:lvlJc w:val="left"/>
      <w:pPr>
        <w:tabs>
          <w:tab w:val="left" w:pos="1015"/>
          <w:tab w:val="num" w:pos="7415"/>
        </w:tabs>
        <w:ind w:left="6695" w:firstLine="42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5F7F54E8"/>
    <w:multiLevelType w:val="hybridMultilevel"/>
    <w:tmpl w:val="24E02578"/>
    <w:styleLink w:val="Numbered"/>
    <w:lvl w:ilvl="0" w:tplc="D62626B0">
      <w:start w:val="1"/>
      <w:numFmt w:val="decimal"/>
      <w:lvlText w:val="%1."/>
      <w:lvlJc w:val="left"/>
      <w:pPr>
        <w:tabs>
          <w:tab w:val="num" w:pos="1440"/>
        </w:tabs>
        <w:ind w:left="720" w:firstLine="22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1" w:tplc="8F0C528E">
      <w:start w:val="1"/>
      <w:numFmt w:val="decimal"/>
      <w:lvlText w:val="%2."/>
      <w:lvlJc w:val="left"/>
      <w:pPr>
        <w:tabs>
          <w:tab w:val="num" w:pos="1743"/>
        </w:tabs>
        <w:ind w:left="102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2" w:tplc="8DD6B682">
      <w:start w:val="1"/>
      <w:numFmt w:val="decimal"/>
      <w:lvlText w:val="%3."/>
      <w:lvlJc w:val="left"/>
      <w:pPr>
        <w:tabs>
          <w:tab w:val="num" w:pos="1963"/>
        </w:tabs>
        <w:ind w:left="124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3" w:tplc="3E14EC0C">
      <w:start w:val="1"/>
      <w:numFmt w:val="decimal"/>
      <w:lvlText w:val="%4."/>
      <w:lvlJc w:val="left"/>
      <w:pPr>
        <w:tabs>
          <w:tab w:val="num" w:pos="2183"/>
        </w:tabs>
        <w:ind w:left="146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4" w:tplc="22D0F94E">
      <w:start w:val="1"/>
      <w:numFmt w:val="decimal"/>
      <w:lvlText w:val="%5."/>
      <w:lvlJc w:val="left"/>
      <w:pPr>
        <w:tabs>
          <w:tab w:val="num" w:pos="2403"/>
        </w:tabs>
        <w:ind w:left="168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5" w:tplc="AD425FF2">
      <w:start w:val="1"/>
      <w:numFmt w:val="decimal"/>
      <w:lvlText w:val="%6."/>
      <w:lvlJc w:val="left"/>
      <w:pPr>
        <w:tabs>
          <w:tab w:val="num" w:pos="2623"/>
        </w:tabs>
        <w:ind w:left="190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6" w:tplc="584AA9DA">
      <w:start w:val="1"/>
      <w:numFmt w:val="decimal"/>
      <w:lvlText w:val="%7."/>
      <w:lvlJc w:val="left"/>
      <w:pPr>
        <w:tabs>
          <w:tab w:val="num" w:pos="2843"/>
        </w:tabs>
        <w:ind w:left="212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7" w:tplc="7958C59E">
      <w:start w:val="1"/>
      <w:numFmt w:val="decimal"/>
      <w:lvlText w:val="%8."/>
      <w:lvlJc w:val="left"/>
      <w:pPr>
        <w:tabs>
          <w:tab w:val="num" w:pos="3063"/>
        </w:tabs>
        <w:ind w:left="234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8" w:tplc="E2C89612">
      <w:start w:val="1"/>
      <w:numFmt w:val="decimal"/>
      <w:lvlText w:val="%9."/>
      <w:lvlJc w:val="left"/>
      <w:pPr>
        <w:tabs>
          <w:tab w:val="num" w:pos="3283"/>
        </w:tabs>
        <w:ind w:left="256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670D359C"/>
    <w:multiLevelType w:val="hybridMultilevel"/>
    <w:tmpl w:val="26ECACEA"/>
    <w:numStyleLink w:val="Numbered0"/>
  </w:abstractNum>
  <w:num w:numId="1">
    <w:abstractNumId w:val="2"/>
  </w:num>
  <w:num w:numId="2">
    <w:abstractNumId w:val="0"/>
  </w:num>
  <w:num w:numId="3">
    <w:abstractNumId w:val="1"/>
  </w:num>
  <w:num w:numId="4">
    <w:abstractNumId w:val="3"/>
  </w:num>
  <w:num w:numId="5">
    <w:abstractNumId w:val="3"/>
    <w:lvlOverride w:ilvl="0">
      <w:startOverride w:val="1"/>
    </w:lvlOverride>
  </w:num>
  <w:num w:numId="6">
    <w:abstractNumId w:val="3"/>
    <w:lvlOverride w:ilvl="0">
      <w:startOverride w:val="1"/>
    </w:lvlOverride>
  </w:num>
  <w:num w:numId="7">
    <w:abstractNumId w:val="3"/>
    <w:lvlOverride w:ilvl="0">
      <w:startOverride w:val="1"/>
      <w:lvl w:ilvl="0" w:tplc="B71086F8">
        <w:start w:val="1"/>
        <w:numFmt w:val="decimal"/>
        <w:lvlText w:val="%1."/>
        <w:lvlJc w:val="left"/>
        <w:pPr>
          <w:tabs>
            <w:tab w:val="num" w:pos="973"/>
          </w:tabs>
          <w:ind w:left="253" w:firstLine="4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3E8A8CB6">
        <w:start w:val="1"/>
        <w:numFmt w:val="decimal"/>
        <w:lvlText w:val="%2."/>
        <w:lvlJc w:val="left"/>
        <w:pPr>
          <w:tabs>
            <w:tab w:val="left" w:pos="973"/>
            <w:tab w:val="num" w:pos="1815"/>
          </w:tabs>
          <w:ind w:left="10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1F2E6F4">
        <w:start w:val="1"/>
        <w:numFmt w:val="decimal"/>
        <w:lvlText w:val="%3."/>
        <w:lvlJc w:val="left"/>
        <w:pPr>
          <w:tabs>
            <w:tab w:val="left" w:pos="973"/>
            <w:tab w:val="num" w:pos="2615"/>
          </w:tabs>
          <w:ind w:left="18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D4D81CAC">
        <w:start w:val="1"/>
        <w:numFmt w:val="decimal"/>
        <w:lvlText w:val="%4."/>
        <w:lvlJc w:val="left"/>
        <w:pPr>
          <w:tabs>
            <w:tab w:val="left" w:pos="973"/>
            <w:tab w:val="num" w:pos="3415"/>
          </w:tabs>
          <w:ind w:left="26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5025386">
        <w:start w:val="1"/>
        <w:numFmt w:val="decimal"/>
        <w:lvlText w:val="%5."/>
        <w:lvlJc w:val="left"/>
        <w:pPr>
          <w:tabs>
            <w:tab w:val="left" w:pos="973"/>
            <w:tab w:val="num" w:pos="4215"/>
          </w:tabs>
          <w:ind w:left="34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BFEBF84">
        <w:start w:val="1"/>
        <w:numFmt w:val="decimal"/>
        <w:lvlText w:val="%6."/>
        <w:lvlJc w:val="left"/>
        <w:pPr>
          <w:tabs>
            <w:tab w:val="left" w:pos="973"/>
            <w:tab w:val="num" w:pos="5015"/>
          </w:tabs>
          <w:ind w:left="42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D96A3074">
        <w:start w:val="1"/>
        <w:numFmt w:val="decimal"/>
        <w:lvlText w:val="%7."/>
        <w:lvlJc w:val="left"/>
        <w:pPr>
          <w:tabs>
            <w:tab w:val="left" w:pos="973"/>
            <w:tab w:val="num" w:pos="5815"/>
          </w:tabs>
          <w:ind w:left="50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327625CA">
        <w:start w:val="1"/>
        <w:numFmt w:val="decimal"/>
        <w:lvlText w:val="%8."/>
        <w:lvlJc w:val="left"/>
        <w:pPr>
          <w:tabs>
            <w:tab w:val="left" w:pos="973"/>
            <w:tab w:val="num" w:pos="6615"/>
          </w:tabs>
          <w:ind w:left="58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184687F2">
        <w:start w:val="1"/>
        <w:numFmt w:val="decimal"/>
        <w:lvlText w:val="%9."/>
        <w:lvlJc w:val="left"/>
        <w:pPr>
          <w:tabs>
            <w:tab w:val="left" w:pos="973"/>
            <w:tab w:val="num" w:pos="7415"/>
          </w:tabs>
          <w:ind w:left="66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8">
    <w:abstractNumId w:val="3"/>
    <w:lvlOverride w:ilvl="0">
      <w:startOverride w:val="1"/>
      <w:lvl w:ilvl="0" w:tplc="B71086F8">
        <w:start w:val="1"/>
        <w:numFmt w:val="decimal"/>
        <w:lvlText w:val="%1."/>
        <w:lvlJc w:val="left"/>
        <w:pPr>
          <w:tabs>
            <w:tab w:val="num" w:pos="973"/>
          </w:tabs>
          <w:ind w:left="253" w:firstLine="4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3E8A8CB6">
        <w:start w:val="1"/>
        <w:numFmt w:val="decimal"/>
        <w:lvlText w:val="%2."/>
        <w:lvlJc w:val="left"/>
        <w:pPr>
          <w:tabs>
            <w:tab w:val="num" w:pos="1815"/>
          </w:tabs>
          <w:ind w:left="10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1F2E6F4">
        <w:start w:val="1"/>
        <w:numFmt w:val="decimal"/>
        <w:lvlText w:val="%3."/>
        <w:lvlJc w:val="left"/>
        <w:pPr>
          <w:tabs>
            <w:tab w:val="num" w:pos="2615"/>
          </w:tabs>
          <w:ind w:left="18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D4D81CAC">
        <w:start w:val="1"/>
        <w:numFmt w:val="decimal"/>
        <w:lvlText w:val="%4."/>
        <w:lvlJc w:val="left"/>
        <w:pPr>
          <w:tabs>
            <w:tab w:val="num" w:pos="3415"/>
          </w:tabs>
          <w:ind w:left="26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5025386">
        <w:start w:val="1"/>
        <w:numFmt w:val="decimal"/>
        <w:lvlText w:val="%5."/>
        <w:lvlJc w:val="left"/>
        <w:pPr>
          <w:tabs>
            <w:tab w:val="num" w:pos="4215"/>
          </w:tabs>
          <w:ind w:left="34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BFEBF84">
        <w:start w:val="1"/>
        <w:numFmt w:val="decimal"/>
        <w:lvlText w:val="%6."/>
        <w:lvlJc w:val="left"/>
        <w:pPr>
          <w:tabs>
            <w:tab w:val="num" w:pos="5015"/>
          </w:tabs>
          <w:ind w:left="42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D96A3074">
        <w:start w:val="1"/>
        <w:numFmt w:val="decimal"/>
        <w:lvlText w:val="%7."/>
        <w:lvlJc w:val="left"/>
        <w:pPr>
          <w:tabs>
            <w:tab w:val="num" w:pos="5815"/>
          </w:tabs>
          <w:ind w:left="50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327625CA">
        <w:start w:val="1"/>
        <w:numFmt w:val="decimal"/>
        <w:lvlText w:val="%8."/>
        <w:lvlJc w:val="left"/>
        <w:pPr>
          <w:tabs>
            <w:tab w:val="num" w:pos="6615"/>
          </w:tabs>
          <w:ind w:left="58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184687F2">
        <w:start w:val="1"/>
        <w:numFmt w:val="decimal"/>
        <w:lvlText w:val="%9."/>
        <w:lvlJc w:val="left"/>
        <w:pPr>
          <w:tabs>
            <w:tab w:val="num" w:pos="7415"/>
          </w:tabs>
          <w:ind w:left="66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
    <w:abstractNumId w:val="3"/>
    <w:lvlOverride w:ilvl="0">
      <w:startOverride w:val="1"/>
      <w:lvl w:ilvl="0" w:tplc="B71086F8">
        <w:start w:val="1"/>
        <w:numFmt w:val="decimal"/>
        <w:lvlText w:val="%1."/>
        <w:lvlJc w:val="left"/>
        <w:pPr>
          <w:tabs>
            <w:tab w:val="num" w:pos="973"/>
          </w:tabs>
          <w:ind w:left="253" w:firstLine="4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3E8A8CB6">
        <w:start w:val="1"/>
        <w:numFmt w:val="decimal"/>
        <w:lvlText w:val="%2."/>
        <w:lvlJc w:val="left"/>
        <w:pPr>
          <w:tabs>
            <w:tab w:val="num" w:pos="1815"/>
          </w:tabs>
          <w:ind w:left="10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1F2E6F4">
        <w:start w:val="1"/>
        <w:numFmt w:val="decimal"/>
        <w:lvlText w:val="%3."/>
        <w:lvlJc w:val="left"/>
        <w:pPr>
          <w:tabs>
            <w:tab w:val="num" w:pos="2615"/>
          </w:tabs>
          <w:ind w:left="18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D4D81CAC">
        <w:start w:val="1"/>
        <w:numFmt w:val="decimal"/>
        <w:lvlText w:val="%4."/>
        <w:lvlJc w:val="left"/>
        <w:pPr>
          <w:tabs>
            <w:tab w:val="num" w:pos="3415"/>
          </w:tabs>
          <w:ind w:left="26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5025386">
        <w:start w:val="1"/>
        <w:numFmt w:val="decimal"/>
        <w:lvlText w:val="%5."/>
        <w:lvlJc w:val="left"/>
        <w:pPr>
          <w:tabs>
            <w:tab w:val="num" w:pos="4215"/>
          </w:tabs>
          <w:ind w:left="34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BFEBF84">
        <w:start w:val="1"/>
        <w:numFmt w:val="decimal"/>
        <w:lvlText w:val="%6."/>
        <w:lvlJc w:val="left"/>
        <w:pPr>
          <w:tabs>
            <w:tab w:val="num" w:pos="5015"/>
          </w:tabs>
          <w:ind w:left="42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D96A3074">
        <w:start w:val="1"/>
        <w:numFmt w:val="decimal"/>
        <w:lvlText w:val="%7."/>
        <w:lvlJc w:val="left"/>
        <w:pPr>
          <w:tabs>
            <w:tab w:val="num" w:pos="5815"/>
          </w:tabs>
          <w:ind w:left="50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327625CA">
        <w:start w:val="1"/>
        <w:numFmt w:val="decimal"/>
        <w:lvlText w:val="%8."/>
        <w:lvlJc w:val="left"/>
        <w:pPr>
          <w:tabs>
            <w:tab w:val="num" w:pos="6615"/>
          </w:tabs>
          <w:ind w:left="58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184687F2">
        <w:start w:val="1"/>
        <w:numFmt w:val="decimal"/>
        <w:lvlText w:val="%9."/>
        <w:lvlJc w:val="left"/>
        <w:pPr>
          <w:tabs>
            <w:tab w:val="num" w:pos="7415"/>
          </w:tabs>
          <w:ind w:left="6695" w:firstLine="42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0">
    <w:abstractNumId w:val="3"/>
    <w:lvlOverride w:ilvl="0">
      <w:startOverride w:val="1"/>
      <w:lvl w:ilvl="0" w:tplc="B71086F8">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3E8A8CB6">
        <w:start w:val="1"/>
        <w:numFmt w:val="decimal"/>
        <w:lvlText w:val="%2."/>
        <w:lvlJc w:val="left"/>
        <w:pPr>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1F2E6F4">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D4D81CAC">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5025386">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BFEBF84">
        <w:start w:val="1"/>
        <w:numFmt w:val="decimal"/>
        <w:lvlText w:val="%6."/>
        <w:lvlJc w:val="left"/>
        <w:pPr>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D96A3074">
        <w:start w:val="1"/>
        <w:numFmt w:val="decimal"/>
        <w:lvlText w:val="%7."/>
        <w:lvlJc w:val="left"/>
        <w:pPr>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327625CA">
        <w:start w:val="1"/>
        <w:numFmt w:val="decimal"/>
        <w:lvlText w:val="%8."/>
        <w:lvlJc w:val="left"/>
        <w:pPr>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184687F2">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displayBackgroundShape/>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3C0557"/>
    <w:rsid w:val="00030A4E"/>
    <w:rsid w:val="00077BCF"/>
    <w:rsid w:val="0008024C"/>
    <w:rsid w:val="000D332C"/>
    <w:rsid w:val="00262C1F"/>
    <w:rsid w:val="002D48C3"/>
    <w:rsid w:val="003C0557"/>
    <w:rsid w:val="00496676"/>
    <w:rsid w:val="004C67FE"/>
    <w:rsid w:val="00566491"/>
    <w:rsid w:val="00634719"/>
    <w:rsid w:val="00652D9C"/>
    <w:rsid w:val="00755B86"/>
    <w:rsid w:val="007B28A0"/>
    <w:rsid w:val="007C1246"/>
    <w:rsid w:val="008446CA"/>
    <w:rsid w:val="00851B36"/>
    <w:rsid w:val="008C78AA"/>
    <w:rsid w:val="00AB4DAA"/>
    <w:rsid w:val="00B46839"/>
    <w:rsid w:val="00B572B6"/>
    <w:rsid w:val="00BC3512"/>
    <w:rsid w:val="00C51DF0"/>
    <w:rsid w:val="00C649E9"/>
    <w:rsid w:val="00E01534"/>
    <w:rsid w:val="00E16F9F"/>
    <w:rsid w:val="00E6122A"/>
    <w:rsid w:val="00E9727E"/>
    <w:rsid w:val="00F65D7C"/>
    <w:rsid w:val="00FC55DB"/>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487AC"/>
  <w15:docId w15:val="{1BDE6CD6-4296-47DD-A18B-4CAD2CE054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Unicode MS" w:hAnsi="Times New Roman" w:cs="Times New Roman"/>
        <w:bdr w:val="nil"/>
        <w:lang w:val="uk-UA" w:eastAsia="uk-UA"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1B36"/>
    <w:rPr>
      <w:rFonts w:eastAsia="Times New Roman"/>
      <w:color w:val="000000"/>
      <w:sz w:val="24"/>
      <w:szCs w:val="24"/>
      <w:u w:color="000000"/>
      <w:lang w:val="en-US"/>
    </w:rPr>
  </w:style>
  <w:style w:type="paragraph" w:styleId="1">
    <w:name w:val="heading 1"/>
    <w:next w:val="a"/>
    <w:uiPriority w:val="9"/>
    <w:qFormat/>
    <w:rsid w:val="00851B36"/>
    <w:pPr>
      <w:keepNext/>
      <w:keepLines/>
      <w:spacing w:line="360" w:lineRule="auto"/>
      <w:jc w:val="center"/>
      <w:outlineLvl w:val="0"/>
    </w:pPr>
    <w:rPr>
      <w:rFonts w:eastAsia="Times New Roman"/>
      <w:b/>
      <w:bCs/>
      <w:caps/>
      <w:color w:val="000000"/>
      <w:sz w:val="32"/>
      <w:szCs w:val="32"/>
      <w:u w:color="000000"/>
    </w:rPr>
  </w:style>
  <w:style w:type="paragraph" w:styleId="2">
    <w:name w:val="heading 2"/>
    <w:next w:val="a"/>
    <w:uiPriority w:val="9"/>
    <w:unhideWhenUsed/>
    <w:qFormat/>
    <w:rsid w:val="00851B36"/>
    <w:pPr>
      <w:keepNext/>
      <w:keepLines/>
      <w:spacing w:line="360" w:lineRule="auto"/>
      <w:ind w:firstLine="720"/>
      <w:jc w:val="both"/>
      <w:outlineLvl w:val="1"/>
    </w:pPr>
    <w:rPr>
      <w:rFonts w:eastAsia="Times New Roman"/>
      <w:b/>
      <w:bCs/>
      <w:color w:val="000000"/>
      <w:sz w:val="28"/>
      <w:szCs w:val="28"/>
      <w:u w:color="000000"/>
      <w:lang w:val="en-US"/>
    </w:rPr>
  </w:style>
  <w:style w:type="paragraph" w:styleId="5">
    <w:name w:val="heading 5"/>
    <w:basedOn w:val="a"/>
    <w:next w:val="a"/>
    <w:link w:val="50"/>
    <w:uiPriority w:val="9"/>
    <w:semiHidden/>
    <w:unhideWhenUsed/>
    <w:qFormat/>
    <w:rsid w:val="00C51DF0"/>
    <w:pPr>
      <w:keepNext/>
      <w:keepLines/>
      <w:spacing w:before="40"/>
      <w:outlineLvl w:val="4"/>
    </w:pPr>
    <w:rPr>
      <w:rFonts w:asciiTheme="majorHAnsi" w:eastAsiaTheme="majorEastAsia" w:hAnsiTheme="majorHAnsi" w:cstheme="majorBidi"/>
      <w:color w:val="0079BF"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851B36"/>
    <w:rPr>
      <w:u w:val="single"/>
    </w:rPr>
  </w:style>
  <w:style w:type="table" w:customStyle="1" w:styleId="TableNormal">
    <w:name w:val="Table Normal"/>
    <w:rsid w:val="00851B36"/>
    <w:tblPr>
      <w:tblInd w:w="0" w:type="dxa"/>
      <w:tblCellMar>
        <w:top w:w="0" w:type="dxa"/>
        <w:left w:w="0" w:type="dxa"/>
        <w:bottom w:w="0" w:type="dxa"/>
        <w:right w:w="0" w:type="dxa"/>
      </w:tblCellMar>
    </w:tblPr>
  </w:style>
  <w:style w:type="paragraph" w:customStyle="1" w:styleId="HeaderFooterA">
    <w:name w:val="Header &amp; Footer A"/>
    <w:rsid w:val="00851B36"/>
    <w:pPr>
      <w:tabs>
        <w:tab w:val="right" w:pos="9020"/>
      </w:tabs>
    </w:pPr>
    <w:rPr>
      <w:rFonts w:ascii="Helvetica Neue" w:hAnsi="Helvetica Neue" w:cs="Arial Unicode MS"/>
      <w:color w:val="000000"/>
      <w:sz w:val="24"/>
      <w:szCs w:val="24"/>
      <w:u w:color="000000"/>
    </w:rPr>
  </w:style>
  <w:style w:type="paragraph" w:customStyle="1" w:styleId="HeaderFooter">
    <w:name w:val="Header &amp; Footer"/>
    <w:rsid w:val="00851B36"/>
    <w:pPr>
      <w:tabs>
        <w:tab w:val="right" w:pos="9020"/>
      </w:tabs>
    </w:pPr>
    <w:rPr>
      <w:rFonts w:ascii="Helvetica Neue" w:hAnsi="Helvetica Neue" w:cs="Arial Unicode MS"/>
      <w:color w:val="000000"/>
      <w:sz w:val="24"/>
      <w:szCs w:val="24"/>
    </w:rPr>
  </w:style>
  <w:style w:type="paragraph" w:customStyle="1" w:styleId="Default">
    <w:name w:val="Default"/>
    <w:rsid w:val="00851B36"/>
    <w:pPr>
      <w:spacing w:before="160" w:line="288" w:lineRule="auto"/>
    </w:pPr>
    <w:rPr>
      <w:rFonts w:ascii="Helvetica Neue" w:hAnsi="Helvetica Neue" w:cs="Arial Unicode MS"/>
      <w:color w:val="000000"/>
      <w:sz w:val="24"/>
      <w:szCs w:val="24"/>
      <w:u w:color="000000"/>
    </w:rPr>
  </w:style>
  <w:style w:type="paragraph" w:styleId="10">
    <w:name w:val="toc 1"/>
    <w:rsid w:val="00851B36"/>
    <w:pPr>
      <w:tabs>
        <w:tab w:val="right" w:leader="dot" w:pos="10179"/>
      </w:tabs>
      <w:spacing w:line="360" w:lineRule="auto"/>
      <w:jc w:val="both"/>
    </w:pPr>
    <w:rPr>
      <w:rFonts w:eastAsia="Times New Roman"/>
      <w:b/>
      <w:bCs/>
      <w:caps/>
      <w:color w:val="000000"/>
      <w:sz w:val="28"/>
      <w:szCs w:val="28"/>
      <w:u w:color="000000"/>
      <w:lang w:val="en-US"/>
    </w:rPr>
  </w:style>
  <w:style w:type="paragraph" w:styleId="20">
    <w:name w:val="toc 2"/>
    <w:rsid w:val="00851B36"/>
    <w:pPr>
      <w:tabs>
        <w:tab w:val="right" w:leader="dot" w:pos="9622"/>
      </w:tabs>
      <w:spacing w:line="360" w:lineRule="auto"/>
      <w:jc w:val="both"/>
    </w:pPr>
    <w:rPr>
      <w:rFonts w:eastAsia="Times New Roman"/>
      <w:color w:val="000000"/>
      <w:sz w:val="28"/>
      <w:szCs w:val="28"/>
      <w:u w:color="000000"/>
      <w:lang w:val="en-US"/>
    </w:rPr>
  </w:style>
  <w:style w:type="numbering" w:customStyle="1" w:styleId="Numbered">
    <w:name w:val="Numbered"/>
    <w:rsid w:val="00851B36"/>
    <w:pPr>
      <w:numPr>
        <w:numId w:val="1"/>
      </w:numPr>
    </w:pPr>
  </w:style>
  <w:style w:type="paragraph" w:customStyle="1" w:styleId="BodyA">
    <w:name w:val="Body A"/>
    <w:rsid w:val="00851B36"/>
    <w:rPr>
      <w:rFonts w:eastAsia="Times New Roman"/>
      <w:color w:val="000000"/>
      <w:sz w:val="24"/>
      <w:szCs w:val="24"/>
      <w:u w:color="000000"/>
    </w:rPr>
  </w:style>
  <w:style w:type="numbering" w:customStyle="1" w:styleId="Numbered0">
    <w:name w:val="Numbered.0"/>
    <w:rsid w:val="00851B36"/>
    <w:pPr>
      <w:numPr>
        <w:numId w:val="3"/>
      </w:numPr>
    </w:pPr>
  </w:style>
  <w:style w:type="character" w:customStyle="1" w:styleId="None">
    <w:name w:val="None"/>
    <w:rsid w:val="00851B36"/>
  </w:style>
  <w:style w:type="character" w:customStyle="1" w:styleId="Hyperlink0">
    <w:name w:val="Hyperlink.0"/>
    <w:basedOn w:val="None"/>
    <w:rsid w:val="00851B36"/>
    <w:rPr>
      <w:rFonts w:ascii="Times New Roman" w:eastAsia="Times New Roman" w:hAnsi="Times New Roman" w:cs="Times New Roman"/>
      <w:sz w:val="28"/>
      <w:szCs w:val="28"/>
    </w:rPr>
  </w:style>
  <w:style w:type="paragraph" w:customStyle="1" w:styleId="Body">
    <w:name w:val="Body"/>
    <w:rsid w:val="00851B36"/>
    <w:rPr>
      <w:rFonts w:ascii="Helvetica Neue" w:hAnsi="Helvetica Neue" w:cs="Arial Unicode MS"/>
      <w:color w:val="000000"/>
      <w:sz w:val="22"/>
      <w:szCs w:val="22"/>
    </w:rPr>
  </w:style>
  <w:style w:type="character" w:customStyle="1" w:styleId="50">
    <w:name w:val="Заголовок 5 Знак"/>
    <w:basedOn w:val="a0"/>
    <w:link w:val="5"/>
    <w:uiPriority w:val="9"/>
    <w:semiHidden/>
    <w:rsid w:val="00C51DF0"/>
    <w:rPr>
      <w:rFonts w:asciiTheme="majorHAnsi" w:eastAsiaTheme="majorEastAsia" w:hAnsiTheme="majorHAnsi" w:cstheme="majorBidi"/>
      <w:color w:val="0079BF" w:themeColor="accent1" w:themeShade="BF"/>
      <w:sz w:val="24"/>
      <w:szCs w:val="24"/>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1093">
      <w:bodyDiv w:val="1"/>
      <w:marLeft w:val="0"/>
      <w:marRight w:val="0"/>
      <w:marTop w:val="0"/>
      <w:marBottom w:val="0"/>
      <w:divBdr>
        <w:top w:val="none" w:sz="0" w:space="0" w:color="auto"/>
        <w:left w:val="none" w:sz="0" w:space="0" w:color="auto"/>
        <w:bottom w:val="none" w:sz="0" w:space="0" w:color="auto"/>
        <w:right w:val="none" w:sz="0" w:space="0" w:color="auto"/>
      </w:divBdr>
    </w:div>
    <w:div w:id="439881714">
      <w:bodyDiv w:val="1"/>
      <w:marLeft w:val="0"/>
      <w:marRight w:val="0"/>
      <w:marTop w:val="0"/>
      <w:marBottom w:val="0"/>
      <w:divBdr>
        <w:top w:val="none" w:sz="0" w:space="0" w:color="auto"/>
        <w:left w:val="none" w:sz="0" w:space="0" w:color="auto"/>
        <w:bottom w:val="none" w:sz="0" w:space="0" w:color="auto"/>
        <w:right w:val="none" w:sz="0" w:space="0" w:color="auto"/>
      </w:divBdr>
    </w:div>
    <w:div w:id="659694906">
      <w:bodyDiv w:val="1"/>
      <w:marLeft w:val="0"/>
      <w:marRight w:val="0"/>
      <w:marTop w:val="0"/>
      <w:marBottom w:val="0"/>
      <w:divBdr>
        <w:top w:val="none" w:sz="0" w:space="0" w:color="auto"/>
        <w:left w:val="none" w:sz="0" w:space="0" w:color="auto"/>
        <w:bottom w:val="none" w:sz="0" w:space="0" w:color="auto"/>
        <w:right w:val="none" w:sz="0" w:space="0" w:color="auto"/>
      </w:divBdr>
    </w:div>
    <w:div w:id="9193688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ature.com/articles/s41598-024-70674-2?utm_source=chatgpt.com" TargetMode="External"/><Relationship Id="rId14" Type="http://schemas.openxmlformats.org/officeDocument/2006/relationships/fontTable" Target="fontTable.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78BDBE-6718-459D-8260-A694612520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64</Pages>
  <Words>78540</Words>
  <Characters>44769</Characters>
  <Application>Microsoft Office Word</Application>
  <DocSecurity>0</DocSecurity>
  <Lines>373</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Yuliia Luts</cp:lastModifiedBy>
  <cp:revision>24</cp:revision>
  <cp:lastPrinted>2026-03-30T08:28:00Z</cp:lastPrinted>
  <dcterms:created xsi:type="dcterms:W3CDTF">2025-12-05T14:08:00Z</dcterms:created>
  <dcterms:modified xsi:type="dcterms:W3CDTF">2026-04-02T10:41:00Z</dcterms:modified>
</cp:coreProperties>
</file>