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78" w:rsidRPr="00186978" w:rsidRDefault="00B01DEC" w:rsidP="001869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ФОРМУВАННЯ МОТИВАЦІЇ СТУДЕНТІВ ДО </w:t>
      </w:r>
      <w:r w:rsidR="00EA34BF">
        <w:rPr>
          <w:rFonts w:ascii="Times New Roman" w:hAnsi="Times New Roman"/>
          <w:b/>
          <w:sz w:val="28"/>
          <w:szCs w:val="28"/>
          <w:lang w:val="uk-UA"/>
        </w:rPr>
        <w:t>ВИВЧЕННЯ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74FF2">
        <w:rPr>
          <w:rFonts w:ascii="Times New Roman" w:hAnsi="Times New Roman"/>
          <w:b/>
          <w:sz w:val="28"/>
          <w:szCs w:val="28"/>
          <w:lang w:val="uk-UA"/>
        </w:rPr>
        <w:t xml:space="preserve">ДИСЦИПЛІН </w:t>
      </w:r>
      <w:r>
        <w:rPr>
          <w:rFonts w:ascii="Times New Roman" w:hAnsi="Times New Roman"/>
          <w:b/>
          <w:sz w:val="28"/>
          <w:szCs w:val="28"/>
          <w:lang w:val="uk-UA"/>
        </w:rPr>
        <w:t>ПОВ’ЯЗАНИХ З БЕЗПЕКОЮ ТА ЗАБЕЗПЕЧЕННЯМ ЗДОРОВ’Я</w:t>
      </w:r>
    </w:p>
    <w:p w:rsidR="00186978" w:rsidRPr="00186978" w:rsidRDefault="00186978" w:rsidP="0018697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8697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Заплатинський </w:t>
      </w:r>
      <w:proofErr w:type="spellStart"/>
      <w:r w:rsidRPr="00186978">
        <w:rPr>
          <w:rFonts w:ascii="Times New Roman" w:hAnsi="Times New Roman"/>
          <w:b/>
          <w:color w:val="000000"/>
          <w:sz w:val="28"/>
          <w:szCs w:val="28"/>
          <w:lang w:val="uk-UA"/>
        </w:rPr>
        <w:t>В.М</w:t>
      </w:r>
      <w:proofErr w:type="spellEnd"/>
      <w:r w:rsidRPr="00186978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186978" w:rsidRPr="00186978" w:rsidRDefault="00AB4F3F" w:rsidP="00186978">
      <w:pPr>
        <w:shd w:val="clear" w:color="auto" w:fill="FFFFFF"/>
        <w:spacing w:after="0" w:line="240" w:lineRule="auto"/>
        <w:ind w:left="-142" w:right="120"/>
        <w:jc w:val="right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поч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. проф., </w:t>
      </w:r>
      <w:r w:rsidR="00186978" w:rsidRPr="00186978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к. с.-г. н. доцент </w:t>
      </w:r>
    </w:p>
    <w:p w:rsidR="00AB4F3F" w:rsidRPr="00186978" w:rsidRDefault="00AB4F3F" w:rsidP="00AB4F3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186978">
        <w:rPr>
          <w:rFonts w:ascii="Times New Roman" w:hAnsi="Times New Roman"/>
          <w:i/>
          <w:sz w:val="28"/>
          <w:szCs w:val="28"/>
          <w:lang w:val="uk-UA"/>
        </w:rPr>
        <w:t>Національний університет фізичного виховання і спорту України</w:t>
      </w:r>
    </w:p>
    <w:p w:rsidR="00186978" w:rsidRPr="00186978" w:rsidRDefault="00186978" w:rsidP="0018697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186978">
        <w:rPr>
          <w:rFonts w:ascii="Times New Roman" w:hAnsi="Times New Roman"/>
          <w:i/>
          <w:sz w:val="28"/>
          <w:szCs w:val="28"/>
          <w:lang w:val="uk-UA"/>
        </w:rPr>
        <w:t>Академія безпеки та основ здоров’я</w:t>
      </w:r>
    </w:p>
    <w:p w:rsidR="00186978" w:rsidRPr="00186978" w:rsidRDefault="00186978" w:rsidP="0018697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186978">
        <w:rPr>
          <w:rFonts w:ascii="Times New Roman" w:hAnsi="Times New Roman"/>
          <w:i/>
          <w:sz w:val="28"/>
          <w:szCs w:val="28"/>
          <w:lang w:val="uk-UA"/>
        </w:rPr>
        <w:t>м. Київ</w:t>
      </w:r>
    </w:p>
    <w:p w:rsidR="00186978" w:rsidRPr="00186978" w:rsidRDefault="00186978" w:rsidP="001869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F1C78" w:rsidRDefault="00875335" w:rsidP="00B01D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6F1C78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дношення до </w:t>
      </w:r>
      <w:r w:rsidR="006F1C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власної безпеки у людини починає формуватися змалечку. Виховання в сім’ї та комплекс зовнішніх факторів, який включає соціальні та  природні умови, а також технічні фактори формують культуру безпеки особистості. </w:t>
      </w:r>
    </w:p>
    <w:p w:rsidR="006F1C78" w:rsidRDefault="006F1C78" w:rsidP="00B01D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покращення ситуації в системі української освіти передбачені спеціальні предмети та дисципліни</w:t>
      </w:r>
      <w:r w:rsidR="00D04D49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які </w:t>
      </w:r>
      <w:r w:rsidR="00ED551B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формують загальнокультурні та професійні компетенції щодо особистої та колективної безпеки в повсякденних та виробничих умовах. Питання безпеки вивчаються у дитячих садочках. В школах  передбачений предмет  «Основи здоров’я»</w:t>
      </w:r>
      <w:r w:rsidR="00D04D49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ED55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який вивчається з 1 до 9 класу, а в старшій школі предмет «Захист Вітчизни». Крім того</w:t>
      </w:r>
      <w:r w:rsidR="00D04D49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ED55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питання безпеки та здоров’я </w:t>
      </w:r>
      <w:r w:rsidR="00ED551B" w:rsidRPr="00ED55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частково </w:t>
      </w:r>
      <w:r w:rsidR="00ED551B" w:rsidRPr="00ED551B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інтегру</w:t>
      </w:r>
      <w:r w:rsidR="00ED551B"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="00ED551B" w:rsidRPr="00ED551B">
        <w:rPr>
          <w:rFonts w:ascii="Times New Roman" w:hAnsi="Times New Roman" w:cs="Times New Roman"/>
          <w:color w:val="000000"/>
          <w:sz w:val="28"/>
          <w:szCs w:val="28"/>
          <w:lang w:val="uk-UA"/>
        </w:rPr>
        <w:t>ться в зміст інших предметів інваріантної та варіативної складових типових навчальних планів</w:t>
      </w:r>
      <w:r w:rsidR="00ED551B">
        <w:rPr>
          <w:rFonts w:ascii="Times New Roman" w:hAnsi="Times New Roman" w:cs="Times New Roman"/>
          <w:color w:val="000000"/>
          <w:sz w:val="28"/>
          <w:szCs w:val="28"/>
          <w:lang w:val="uk-UA"/>
        </w:rPr>
        <w:t>. У вищих закладах освіти формування компетенцій щодо безпеки та здоров’я здійснюється під час опанування дисциплін «Безпека життєдіяльності», «Основи охорони праці»</w:t>
      </w:r>
      <w:r w:rsidR="00D04D49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ED55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«Цивільний захист», «Охорона праці в галузі» та спеціальних дисциплін пов’язаних з професійною безпекою.</w:t>
      </w:r>
    </w:p>
    <w:p w:rsidR="006F1C78" w:rsidRDefault="00E758B8" w:rsidP="00B01D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Проведені аналітичні дослідження показують, що ефективно сформувати належну культуру безпеки лише під час вивчення зазначених вище  курсів</w:t>
      </w:r>
      <w:r w:rsidR="00D04D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неможливо. Наприклад</w:t>
      </w:r>
      <w:r w:rsidR="006F1C78" w:rsidRPr="006F1C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учні</w:t>
      </w:r>
      <w:r w:rsidR="006F1C78" w:rsidRPr="006F1C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базової середньої освіти за 5 років навчання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вивчають питання </w:t>
      </w:r>
      <w:r w:rsidR="006F1C78" w:rsidRPr="006F1C7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профілактик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6F1C78" w:rsidRPr="006F1C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безпеки і питань здоров'я  </w:t>
      </w:r>
      <w:r w:rsidRPr="006F1C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всього </w:t>
      </w:r>
      <w:r w:rsidR="006F1C78" w:rsidRPr="006F1C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0,54% активного часу протягом якого йде формування світогляду </w:t>
      </w:r>
      <w:proofErr w:type="spellStart"/>
      <w:r w:rsidR="006F1C78" w:rsidRPr="006F1C7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підлітка</w:t>
      </w:r>
      <w:proofErr w:type="spellEnd"/>
      <w:r w:rsidR="006F1C78" w:rsidRPr="006F1C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питань його безпеки, здоров'я, протидії розвитку шкідливих звичок тощо.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758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Без поєднання з іншими виховними заходами, без підтримки сім'ї, найближчого оточення навряд чи можна говорити про істотне виховний вплив на </w:t>
      </w:r>
      <w:proofErr w:type="spellStart"/>
      <w:r w:rsidRPr="00E758B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підлітка</w:t>
      </w:r>
      <w:proofErr w:type="spellEnd"/>
      <w:r w:rsidRPr="00E758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формування його позитивного менталітету ті</w:t>
      </w:r>
      <w:r w:rsidR="00D04D49">
        <w:rPr>
          <w:rFonts w:ascii="Times New Roman" w:hAnsi="Times New Roman" w:cs="Times New Roman"/>
          <w:color w:val="000000"/>
          <w:sz w:val="28"/>
          <w:szCs w:val="28"/>
          <w:lang w:val="uk-UA"/>
        </w:rPr>
        <w:t>льки за рахунок вивчення курсу «</w:t>
      </w:r>
      <w:r w:rsidRPr="00E758B8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Основи здоров'я</w:t>
      </w:r>
      <w:r w:rsidR="00D04D49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E758B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758B8" w:rsidRDefault="00E758B8" w:rsidP="00B01D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Ускладнює та погіршує ситуацію той факт, що значна частина суспільства байдуже та навіть негативно ставиться до вивчення та практичної реалізації питань безпеки, а в окремих випадках навіть негативно. Результатом такої ситуації</w:t>
      </w:r>
      <w:r w:rsidR="00D04D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високий рівень виробничого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повсякденного травматизму та смертності, велика кількість техногенних надзвичайних ситуацій</w:t>
      </w:r>
      <w:r w:rsidR="00D04D49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 також природни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х, які виникли внаслідок людської діяльності.</w:t>
      </w:r>
    </w:p>
    <w:p w:rsidR="00E758B8" w:rsidRDefault="00E758B8" w:rsidP="00B01D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зважаючи на незадовільний стан в системі вищої освіти спостерігається стала тенденція до редукції дисциплін</w:t>
      </w:r>
      <w:r w:rsidR="00D04D49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направлених на  вивчення загальних питань безпеки та збереження власного здоров’я і здоров’я оточуючих.</w:t>
      </w:r>
    </w:p>
    <w:p w:rsidR="00B762C0" w:rsidRDefault="00B762C0" w:rsidP="00B01D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Одним з факторів, який суттєво впливає на редукцію </w:t>
      </w:r>
      <w:r w:rsidR="00336ED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викладання дисциплін з безпеки та основ здоров’я є відношення до них школярів та студентів, які за певний час стають керівниками і реалізують це відношення через  нормативні та законодавці акти.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36ED3" w:rsidRDefault="00336ED3" w:rsidP="00336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Р</w:t>
      </w:r>
      <w:r w:rsidR="00B01DEC" w:rsidRPr="00B01DEC">
        <w:rPr>
          <w:rFonts w:ascii="Times New Roman" w:hAnsi="Times New Roman" w:cs="Times New Roman"/>
          <w:color w:val="222222"/>
          <w:sz w:val="28"/>
          <w:szCs w:val="28"/>
          <w:lang w:val="uk-UA"/>
        </w:rPr>
        <w:t>езультати соціологічного опитування недавніх випускників шкіл, проведе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ного автором статті в 2018 році</w:t>
      </w:r>
      <w:r w:rsidR="00B01DEC" w:rsidRPr="00B01DE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свідчать</w:t>
      </w:r>
      <w:r w:rsidR="00B01DEC" w:rsidRPr="00B01DE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що предмет «Основи здоров'я» в школах викладають вчителі різних спеціальностей - інформатики, музики, географії, математики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тощо</w:t>
      </w:r>
      <w:r w:rsidR="00B01DEC" w:rsidRPr="00B01DE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. Викладання основ здоров'я може бути доручено вчителю будь-якого профілю, навіть не дивлячись на те проходив він хоч якесь підвищення кваліфікації або навчання з даного питання. Як результат, зміст освіти і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її</w:t>
      </w:r>
      <w:r w:rsidR="00B01DEC" w:rsidRPr="00B01DE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якість залежить від суб'єктивних факторів особистості вчителя. Саме особистість учителя формує ставлення до предмету, що підтверджується даними соціологічного дослідження результати якого представлені на рис.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1</w:t>
      </w:r>
      <w:r w:rsidR="00B01DEC" w:rsidRPr="00B01DEC">
        <w:rPr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  <w:r w:rsidRPr="00336E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36ED3" w:rsidRDefault="00336ED3" w:rsidP="00336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36ED3" w:rsidRDefault="00946B5A" w:rsidP="00946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C0CEE" wp14:editId="2148CD58">
                <wp:simplePos x="0" y="0"/>
                <wp:positionH relativeFrom="column">
                  <wp:posOffset>-1905</wp:posOffset>
                </wp:positionH>
                <wp:positionV relativeFrom="paragraph">
                  <wp:posOffset>3367405</wp:posOffset>
                </wp:positionV>
                <wp:extent cx="6117590" cy="76708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7590" cy="767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B5A" w:rsidRDefault="00946B5A" w:rsidP="00946B5A">
                            <w:pPr>
                              <w:spacing w:after="0" w:line="240" w:lineRule="auto"/>
                              <w:ind w:left="851" w:hanging="85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46B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Рис. 1. Ставлення колишніх учнів шкіл до предметів «Основи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здоров'я», «Захист Вітчизни»,  у </w:t>
                            </w:r>
                            <w:r w:rsidRPr="00946B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%.</w:t>
                            </w:r>
                          </w:p>
                          <w:p w:rsidR="00946B5A" w:rsidRPr="00946B5A" w:rsidRDefault="00946B5A" w:rsidP="00946B5A">
                            <w:pPr>
                              <w:spacing w:after="0" w:line="240" w:lineRule="auto"/>
                              <w:ind w:left="851" w:hanging="851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46B5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Джерело: власна розробка.</w:t>
                            </w:r>
                          </w:p>
                          <w:p w:rsidR="00946B5A" w:rsidRDefault="00946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.15pt;margin-top:265.15pt;width:481.7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" filled="f" stroked="f" strokeweight=".5pt">
                <v:textbox>
                  <w:txbxContent>
                    <w:p w:rsidR="00946B5A" w:rsidRDefault="00946B5A" w:rsidP="00946B5A">
                      <w:pPr>
                        <w:spacing w:after="0" w:line="240" w:lineRule="auto"/>
                        <w:ind w:left="851" w:hanging="851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946B5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Рис. 1. Ставлення колишніх учнів шкіл до предметів «Основи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здоров'я», «Захист Вітчизни»,  у </w:t>
                      </w:r>
                      <w:r w:rsidRPr="00946B5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%.</w:t>
                      </w:r>
                    </w:p>
                    <w:p w:rsidR="00946B5A" w:rsidRPr="00946B5A" w:rsidRDefault="00946B5A" w:rsidP="00946B5A">
                      <w:pPr>
                        <w:spacing w:after="0" w:line="240" w:lineRule="auto"/>
                        <w:ind w:left="851" w:hanging="851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946B5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Джерело: власна розробка.</w:t>
                      </w:r>
                    </w:p>
                    <w:p w:rsidR="00946B5A" w:rsidRDefault="00946B5A"/>
                  </w:txbxContent>
                </v:textbox>
              </v:shape>
            </w:pict>
          </mc:Fallback>
        </mc:AlternateContent>
      </w:r>
      <w:r w:rsidR="00336ED3">
        <w:rPr>
          <w:noProof/>
          <w:lang w:val="en-US"/>
        </w:rPr>
        <w:drawing>
          <wp:inline distT="0" distB="0" distL="0" distR="0" wp14:anchorId="36C8475B" wp14:editId="3C663996">
            <wp:extent cx="5012872" cy="3673929"/>
            <wp:effectExtent l="0" t="0" r="0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6ED3" w:rsidRDefault="00336ED3" w:rsidP="00336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36ED3" w:rsidRDefault="00336ED3" w:rsidP="00336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46B5A" w:rsidRPr="00946B5A" w:rsidRDefault="00946B5A" w:rsidP="00946B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46B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підтвердження тези про те, що на формування ставлення до предмету, в першу чергу, впливає особистість учителя свідчать дані, згідно з якими у 28,1% опитаних сформувалося різне ставлення до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того самого предмету чи предметів «Основи здоров’я» та «Захист вітчизни» від</w:t>
      </w:r>
      <w:r w:rsidRPr="00946B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негативного до захоплюючого в різні роки навчання.</w:t>
      </w:r>
    </w:p>
    <w:p w:rsidR="00336ED3" w:rsidRDefault="00946B5A" w:rsidP="00946B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46B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Тривогу викликає той факт, що частина колишніх школярів (3,2%) висловилися вкрай негативно по відношенню до предмету «Основи здоров'я», що свідчить про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46B5A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край поган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r w:rsidR="001E1F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стан</w:t>
      </w:r>
      <w:r w:rsidRPr="00946B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справ з викладанням окремими вчителями. Всього негативно висловилися 22,6% колишніх школярів. Байдуже і нейтральне ставлення вказали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946B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29%, а позитивно ставляться до вивчення питань безпеки і здоров'я тільки 48,4% колишніх учнів.</w:t>
      </w:r>
    </w:p>
    <w:p w:rsidR="00AA676F" w:rsidRDefault="00946B5A" w:rsidP="00336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46B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Ставлення до вивчення питань безпеки, яке сформувалося у школярів, впливає на сприйняття дисциплін, що викладаються 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вищих закладах освіти (</w:t>
      </w:r>
      <w:proofErr w:type="spellStart"/>
      <w:r w:rsidRPr="00946B5A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46B5A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946B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саме: «Безпека життєдіяльності», «Основи охорони праці», «Цивільний захист», «Охорона праці в галузі». У частині вищих навчальних закладів ставлення до дисциплін стосуються безпеки і здоров'я, м'яко кажучи, знаходиться не на належному рівні. Це погіршує ситуацію тим, що у частини колишніх школярів, які ставилися нейтрально до викладання предмета «Основи здоров'я» у </w:t>
      </w:r>
      <w:proofErr w:type="spellStart"/>
      <w:r w:rsidRPr="00946B5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proofErr w:type="spellEnd"/>
      <w:r w:rsidRPr="00946B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легко формується негативне ставлення до викладання даних предметів. Після закінчення </w:t>
      </w:r>
      <w:proofErr w:type="spellStart"/>
      <w:r w:rsidRPr="00946B5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proofErr w:type="spellEnd"/>
      <w:r w:rsidRPr="00946B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такі фахівці, зайнявши керівні пости, продовжують зневажливо ставитися до питань безпеки, охорони праці та цивільного захисту. Наслідки такого ставлення - людські життя і величезні матеріальні втрати. Яскравий приклад цьому - події 25 березня 2018 року в торгово-розважальному центрі "Зимова вишня" в російському місті Кемерово. Пожежа, за офіційними даними, забра</w:t>
      </w:r>
      <w:r w:rsidR="00795FFE">
        <w:rPr>
          <w:rFonts w:ascii="Times New Roman" w:hAnsi="Times New Roman" w:cs="Times New Roman"/>
          <w:color w:val="000000"/>
          <w:sz w:val="28"/>
          <w:szCs w:val="28"/>
          <w:lang w:val="uk-UA"/>
        </w:rPr>
        <w:t>ла</w:t>
      </w:r>
      <w:r w:rsidRPr="00946B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життя 64 людей серед яких 41 дитина</w:t>
      </w:r>
      <w:r w:rsidR="0010527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946B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Причини загоряння розслідуються, проте журналісти і експерти стверджують, що якою б не була причина загоряння, причино</w:t>
      </w:r>
      <w:r w:rsidR="001E1F97">
        <w:rPr>
          <w:rFonts w:ascii="Times New Roman" w:hAnsi="Times New Roman" w:cs="Times New Roman"/>
          <w:color w:val="000000"/>
          <w:sz w:val="28"/>
          <w:szCs w:val="28"/>
          <w:lang w:val="uk-UA"/>
        </w:rPr>
        <w:t>ю переростання загоряння в таку велику пожежу</w:t>
      </w:r>
      <w:r w:rsidRPr="00946B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загибель великої кількості людей - недотримання базових вимог пожежної безпеки по відношенню до матеріалів конструкції, організації та управління безпекою в торгово-розважальному центрі. </w:t>
      </w:r>
    </w:p>
    <w:p w:rsidR="00AA676F" w:rsidRDefault="00AA676F" w:rsidP="00AA6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AA676F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ідви</w:t>
      </w:r>
      <w:r w:rsidR="001E1F97">
        <w:rPr>
          <w:rFonts w:ascii="Times New Roman" w:hAnsi="Times New Roman" w:cs="Times New Roman"/>
          <w:color w:val="000000"/>
          <w:sz w:val="28"/>
          <w:szCs w:val="28"/>
          <w:lang w:val="uk-UA"/>
        </w:rPr>
        <w:t>щи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ти</w:t>
      </w:r>
      <w:r w:rsidRPr="00AA67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мотиваці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Pr="00AA67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вивчення студентами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A676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дисци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плін з безпеки та охорони праці можна здійснити змінивши </w:t>
      </w:r>
      <w:r w:rsidRPr="00AA676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системн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AA67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фактор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AA67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державному, галузев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ому та університетському рівнях; з</w:t>
      </w:r>
      <w:r w:rsidRPr="00AA676F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ити (оптимізувати та скорегувати)</w:t>
      </w:r>
      <w:r w:rsidRPr="00AA67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зміст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дисциплін; в</w:t>
      </w:r>
      <w:r w:rsidRPr="00AA676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провад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ити</w:t>
      </w:r>
      <w:r w:rsidRPr="00AA67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новітні форм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AA67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проведення занять.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 цьому слід враховувати не лише статистичні дані, вимоги нормативних документів тощо, але й побажання студентів. </w:t>
      </w:r>
    </w:p>
    <w:p w:rsidR="00336ED3" w:rsidRDefault="00AA676F" w:rsidP="00AA6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Результати соціологічного опитування студентів показало, що значна частина студентів</w:t>
      </w:r>
      <w:r w:rsidR="007B01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(19,3 %)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вбачає покращення дисципліни в поліпшенні  форми</w:t>
      </w:r>
      <w:r w:rsidR="007B01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проведення занять та забезпечення дисципліни навчально-методичними матеріалами</w:t>
      </w:r>
      <w:r w:rsidR="00B116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(р</w:t>
      </w:r>
      <w:r w:rsidR="007B0135">
        <w:rPr>
          <w:rFonts w:ascii="Times New Roman" w:hAnsi="Times New Roman" w:cs="Times New Roman"/>
          <w:color w:val="000000"/>
          <w:sz w:val="28"/>
          <w:szCs w:val="28"/>
          <w:lang w:val="uk-UA"/>
        </w:rPr>
        <w:t>ис. 2.).</w:t>
      </w:r>
    </w:p>
    <w:p w:rsidR="007B0135" w:rsidRDefault="007B0135" w:rsidP="00AA6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зміну та актуалізацію змісту ви</w:t>
      </w:r>
      <w:r w:rsidR="004D7E3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словились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32,2 % студентів. Причому більшість с них (29%) вважають, що  при вивченні дисципліни розглядається мало практичних ситуацій і</w:t>
      </w:r>
      <w:r w:rsidR="00B116A8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</w:t>
      </w:r>
      <w:r w:rsidR="00B116A8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формуються  конкретні компетенції. Це означає, що значна частина викладачів більшу увагу приділяє теоретичному аспекту, наданню знань</w:t>
      </w:r>
      <w:r w:rsidR="00B116A8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 не формуванню компетенцій щодо забезпечення власної безпеки у найбільш типових небезпечних ситуаціях.</w:t>
      </w:r>
    </w:p>
    <w:p w:rsidR="004D7E3F" w:rsidRPr="004D7E3F" w:rsidRDefault="007B0135" w:rsidP="00AA6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Індиферентно ставляться до змісту та форми проведення занять 29% студентів</w:t>
      </w:r>
      <w:r w:rsidR="00586D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(вказали, що їх все влаштовує)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до цього числа можна додати студентів</w:t>
      </w:r>
      <w:r w:rsidR="00B116A8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які зовсім не надали відповіді (12,9 %), що свідчить про байдуже відношення до дисципліни. В цілому </w:t>
      </w:r>
      <w:r w:rsidR="00586D85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586D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ндиферентно ставляться </w:t>
      </w:r>
      <w:r w:rsidR="00586D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вивчення цієї дисципліні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41,9%. Відверто негативне </w:t>
      </w:r>
      <w:r w:rsidR="004D7E3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ставлення до дисципліни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</w:t>
      </w:r>
      <w:r w:rsidR="004D7E3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словили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3,2% студентів. </w:t>
      </w:r>
      <w:r w:rsidR="004D7E3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Слід зазначити, що  відсоток студентів, які  висловились за зміни у формі та змісті дисциплін не характеризує їх позитивне відношення і не може розглядатись як відсоток позитивного ставлення до дисципліни безпека життєдіяльності та охорона праці.</w:t>
      </w:r>
    </w:p>
    <w:p w:rsidR="007B3672" w:rsidRDefault="007B0135" w:rsidP="004D7E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B3672"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5A48774A" wp14:editId="291534F1">
            <wp:extent cx="6305823" cy="275952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303" cy="2760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3672" w:rsidRDefault="004D7E3F" w:rsidP="00336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5FB36" wp14:editId="27C32280">
                <wp:simplePos x="0" y="0"/>
                <wp:positionH relativeFrom="column">
                  <wp:posOffset>31115</wp:posOffset>
                </wp:positionH>
                <wp:positionV relativeFrom="paragraph">
                  <wp:posOffset>1905</wp:posOffset>
                </wp:positionV>
                <wp:extent cx="6128385" cy="76708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8385" cy="767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672" w:rsidRDefault="007B3672" w:rsidP="00AA67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46B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Рис.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2</w:t>
                            </w:r>
                            <w:r w:rsidRPr="00946B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. </w:t>
                            </w:r>
                            <w:r w:rsidR="00586D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Побажання студентів щодо змін</w:t>
                            </w:r>
                            <w:r w:rsidR="00AA676F" w:rsidRPr="00AA67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AA67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AA676F" w:rsidRPr="00AA67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у викладанні дисципліни </w:t>
                            </w:r>
                            <w:r w:rsidR="00AA67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«Безпека життєдіяльності та основи охорони праці»,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у </w:t>
                            </w:r>
                            <w:r w:rsidRPr="00946B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%.</w:t>
                            </w:r>
                          </w:p>
                          <w:p w:rsidR="007B3672" w:rsidRPr="00946B5A" w:rsidRDefault="007B3672" w:rsidP="007B3672">
                            <w:pPr>
                              <w:spacing w:after="0" w:line="240" w:lineRule="auto"/>
                              <w:ind w:left="851" w:hanging="851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46B5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Джерело: власна розробка.</w:t>
                            </w:r>
                          </w:p>
                          <w:p w:rsidR="007B3672" w:rsidRDefault="007B3672" w:rsidP="007B36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2.45pt;margin-top:.15pt;width:482.55pt;height:6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" filled="f" stroked="f" strokeweight=".5pt">
                <v:textbox>
                  <w:txbxContent>
                    <w:p w:rsidR="007B3672" w:rsidRDefault="007B3672" w:rsidP="00AA67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946B5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Рис.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2</w:t>
                      </w:r>
                      <w:r w:rsidRPr="00946B5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. </w:t>
                      </w:r>
                      <w:r w:rsidR="00586D8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Побажання студентів щодо змін</w:t>
                      </w:r>
                      <w:r w:rsidR="00AA676F" w:rsidRPr="00AA676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AA676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AA676F" w:rsidRPr="00AA676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у викладанні дисципліни </w:t>
                      </w:r>
                      <w:r w:rsidR="00AA676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«Безпека життєдіяльності та основи охорони праці»,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у </w:t>
                      </w:r>
                      <w:r w:rsidRPr="00946B5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%.</w:t>
                      </w:r>
                    </w:p>
                    <w:p w:rsidR="007B3672" w:rsidRPr="00946B5A" w:rsidRDefault="007B3672" w:rsidP="007B3672">
                      <w:pPr>
                        <w:spacing w:after="0" w:line="240" w:lineRule="auto"/>
                        <w:ind w:left="851" w:hanging="851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946B5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Джерело: власна розробка.</w:t>
                      </w:r>
                    </w:p>
                    <w:p w:rsidR="007B3672" w:rsidRDefault="007B3672" w:rsidP="007B3672"/>
                  </w:txbxContent>
                </v:textbox>
              </v:shape>
            </w:pict>
          </mc:Fallback>
        </mc:AlternateContent>
      </w:r>
    </w:p>
    <w:p w:rsidR="007B3672" w:rsidRDefault="007B3672" w:rsidP="00336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B3672" w:rsidRDefault="007B3672" w:rsidP="00336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B3672" w:rsidRDefault="007B3672" w:rsidP="00336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D7E3F" w:rsidRDefault="00586D85" w:rsidP="00336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Дослідження найбільш цікавих для студентів тем було зроблено як результат  пропозицій студентів вільного вибору тематики для частини заняття. Кожен з студентів пропонував власну тему, а визначення найбільш цікавої здійснювалось на основі відкритого голосування студентів. Слід відмітити, що частина студентів запропонувала тематику, яка не набрала жодного голосу, відповідно</w:t>
      </w:r>
      <w:r w:rsidR="00B116A8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навіть автори не проголосували за свої пропозиції, що свідчить про байдуже ставлення студентів до змісту навчання, що підтверджується даними отриманим під час соціологічного дослідження і представленими на рис. 2. </w:t>
      </w:r>
    </w:p>
    <w:p w:rsidR="00586D85" w:rsidRDefault="00586D85" w:rsidP="00336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Найбільш цікавими темами </w:t>
      </w:r>
      <w:r w:rsidR="001767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питань безпеки життєдіяльності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студентів </w:t>
      </w:r>
      <w:r w:rsidR="001767DC">
        <w:rPr>
          <w:rFonts w:ascii="Times New Roman" w:hAnsi="Times New Roman" w:cs="Times New Roman"/>
          <w:color w:val="000000"/>
          <w:sz w:val="28"/>
          <w:szCs w:val="28"/>
          <w:lang w:val="uk-UA"/>
        </w:rPr>
        <w:t>є:</w:t>
      </w:r>
    </w:p>
    <w:p w:rsidR="001767DC" w:rsidRPr="006F722F" w:rsidRDefault="001767DC" w:rsidP="006F72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F722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Небезпека доступу до індивідуальної інформації в соціальних мережах.</w:t>
      </w:r>
    </w:p>
    <w:p w:rsidR="001767DC" w:rsidRPr="006F722F" w:rsidRDefault="001767DC" w:rsidP="006F72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F722F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 є соціальною небезпекою брехня заради блага?</w:t>
      </w:r>
    </w:p>
    <w:p w:rsidR="001767DC" w:rsidRPr="006F722F" w:rsidRDefault="001767DC" w:rsidP="006F72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F722F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Інтернет залежність.</w:t>
      </w:r>
    </w:p>
    <w:p w:rsidR="001767DC" w:rsidRPr="006F722F" w:rsidRDefault="001767DC" w:rsidP="006F72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F722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Психологічні патології у соціумі.</w:t>
      </w:r>
    </w:p>
    <w:p w:rsidR="001767DC" w:rsidRPr="006F722F" w:rsidRDefault="001767DC" w:rsidP="006F72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F722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Сучасне рабство як вид соціальної небезпеки.</w:t>
      </w:r>
    </w:p>
    <w:p w:rsidR="001767DC" w:rsidRPr="006F722F" w:rsidRDefault="001767DC" w:rsidP="006F72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F722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Ризики нереалізованості.</w:t>
      </w:r>
    </w:p>
    <w:p w:rsidR="001767DC" w:rsidRPr="006F722F" w:rsidRDefault="001767DC" w:rsidP="006F72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F722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Расизм, як соціальна небезпека.</w:t>
      </w:r>
    </w:p>
    <w:p w:rsidR="001767DC" w:rsidRPr="006F722F" w:rsidRDefault="001767DC" w:rsidP="006F72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F722F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Безпека на масових спортивних заходах.</w:t>
      </w:r>
    </w:p>
    <w:p w:rsidR="001767DC" w:rsidRPr="006F722F" w:rsidRDefault="001767DC" w:rsidP="006F72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F722F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Безпека харчування та споживання напоїв, в т. ч алкогольних.</w:t>
      </w:r>
    </w:p>
    <w:p w:rsidR="001767DC" w:rsidRPr="006F722F" w:rsidRDefault="001767DC" w:rsidP="006F72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F722F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Безпека сексуальних відносин.</w:t>
      </w:r>
    </w:p>
    <w:p w:rsidR="006F722F" w:rsidRPr="006F722F" w:rsidRDefault="006F722F" w:rsidP="006F72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F722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Насилля в сім’ї.</w:t>
      </w:r>
    </w:p>
    <w:p w:rsidR="00586D85" w:rsidRDefault="006F722F" w:rsidP="00336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Слід відмітити, що особливо популярними були теми пов’</w:t>
      </w:r>
      <w:r w:rsidR="007500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язані з інтернет залежністю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сімейними конфліктами і насиллям у сім’ях. В переліку популярних запитань були пов’язані з  безпекою щодо магічних та потойбічних впливів (полтергейст) та можливістю негативного інопланетного впливу.</w:t>
      </w:r>
    </w:p>
    <w:p w:rsidR="006F722F" w:rsidRDefault="006F722F" w:rsidP="00336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Студенти, другого курсу</w:t>
      </w:r>
      <w:r w:rsidR="001052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медичного університету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які вивчали дисципліну  «Охорону праці» найбільш цікавими</w:t>
      </w:r>
      <w:r w:rsidR="001052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необхідними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темами</w:t>
      </w:r>
      <w:r w:rsidR="001052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визначили наступні:</w:t>
      </w:r>
    </w:p>
    <w:p w:rsidR="006F722F" w:rsidRPr="0010527E" w:rsidRDefault="006F722F" w:rsidP="001052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0527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Сексуальні домагання у професійн</w:t>
      </w:r>
      <w:r w:rsidR="0010527E" w:rsidRPr="0010527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ому середовищі</w:t>
      </w:r>
      <w:r w:rsidRPr="001052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 w:rsidR="0075007A" w:rsidRPr="001052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052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законодавчі і нормативні документи </w:t>
      </w:r>
      <w:r w:rsidR="0075007A" w:rsidRPr="001052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</w:t>
      </w:r>
      <w:r w:rsidR="0010527E" w:rsidRPr="001052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власного </w:t>
      </w:r>
      <w:r w:rsidR="0075007A" w:rsidRPr="0010527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захисту.</w:t>
      </w:r>
    </w:p>
    <w:p w:rsidR="0075007A" w:rsidRPr="0010527E" w:rsidRDefault="0075007A" w:rsidP="001052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052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Оцінка важкості та напруженості  в медичному університеті. </w:t>
      </w:r>
    </w:p>
    <w:p w:rsidR="0075007A" w:rsidRPr="0010527E" w:rsidRDefault="0075007A" w:rsidP="001052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0527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Вплив умов навчання та проживання на студента-медика</w:t>
      </w:r>
      <w:r w:rsidR="00B116A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5007A" w:rsidRPr="0010527E" w:rsidRDefault="0075007A" w:rsidP="001052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0527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Правила поведінки та захисту під час терористичних актів, в тому числі на робочому місці.</w:t>
      </w:r>
    </w:p>
    <w:p w:rsidR="0075007A" w:rsidRPr="0010527E" w:rsidRDefault="0075007A" w:rsidP="001052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0527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Правила поведінки медичних працівників при неадекватній поведінці пацієнта.</w:t>
      </w:r>
    </w:p>
    <w:p w:rsidR="0075007A" w:rsidRPr="0010527E" w:rsidRDefault="0075007A" w:rsidP="001052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0527E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Лікарська помилка та відповідальність за неї.</w:t>
      </w:r>
    </w:p>
    <w:p w:rsidR="0075007A" w:rsidRPr="0010527E" w:rsidRDefault="0075007A" w:rsidP="001052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0527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Випадки кримінальних справ</w:t>
      </w:r>
      <w:r w:rsidR="00B116A8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1052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пов’язаних з діяльністю лікаря.</w:t>
      </w:r>
    </w:p>
    <w:p w:rsidR="0075007A" w:rsidRPr="0010527E" w:rsidRDefault="0075007A" w:rsidP="001052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0527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Психологічні проблеми медичних працівників та шляхи їх вирішення.</w:t>
      </w:r>
    </w:p>
    <w:p w:rsidR="0075007A" w:rsidRPr="0010527E" w:rsidRDefault="0075007A" w:rsidP="001052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0527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Практика охорони праці за</w:t>
      </w:r>
      <w:r w:rsidR="00B116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0527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кордоном, передусім у розвинутих країнах.</w:t>
      </w:r>
    </w:p>
    <w:p w:rsidR="0010527E" w:rsidRPr="0010527E" w:rsidRDefault="0010527E" w:rsidP="001052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0527E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Дії лікаря під час нетипових ситуацій.</w:t>
      </w:r>
    </w:p>
    <w:p w:rsidR="0075007A" w:rsidRDefault="0010527E" w:rsidP="00336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Аналіз тематики показує, що частина з тем не відносить</w:t>
      </w:r>
      <w:r w:rsidR="00B116A8">
        <w:rPr>
          <w:rFonts w:ascii="Times New Roman" w:hAnsi="Times New Roman" w:cs="Times New Roman"/>
          <w:color w:val="000000"/>
          <w:sz w:val="28"/>
          <w:szCs w:val="28"/>
          <w:lang w:val="uk-UA"/>
        </w:rPr>
        <w:t>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прямо до курсу охорони праці, зокрема тематика пов’язана з відповідальністю через помилки у  професійній діяльності.</w:t>
      </w:r>
    </w:p>
    <w:p w:rsidR="0010527E" w:rsidRDefault="0010527E" w:rsidP="00336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0527E" w:rsidRPr="0010527E" w:rsidRDefault="0010527E" w:rsidP="00336E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052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Висновки та пропозиції</w:t>
      </w:r>
    </w:p>
    <w:p w:rsidR="0010527E" w:rsidRDefault="0010527E" w:rsidP="00336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Проведені дослі</w:t>
      </w:r>
      <w:r w:rsidR="00B116A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дження, частина результатів які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представлені у даній статті, дають підстави стверджувати, що суттєве покращення ситуації з формування культури безпеки у населення України та зниження повсякденного та виробничого травматизму</w:t>
      </w:r>
      <w:r w:rsidR="00A311D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смертності вимагає системних скоординованих </w:t>
      </w:r>
      <w:r w:rsidR="00EE30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законодавчих, нормативних, освітніх, соціальних, економічних, технічних та інших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заходів</w:t>
      </w:r>
      <w:r w:rsidR="00EE301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E301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Зокрема</w:t>
      </w:r>
      <w:r w:rsidR="00A311D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EE30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сфері освіти необхідна координація та оптимізація змісту вивчення питань безпеки впродовж дошкільної, шкільної підготовки, підготовки у вищих закладах освіти та впродовж подальшого життя, зокрема</w:t>
      </w:r>
      <w:r w:rsidR="00A311D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EE30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робочих місцях. Особливу увагу необхідно звернути на  підготовку вчителів, які будуть викладати предмет «Основи здоров’я» та «Захист вітчизни», а також кваліфікацію науково-педагогічного персоналу </w:t>
      </w:r>
      <w:bookmarkStart w:id="0" w:name="_GoBack"/>
      <w:bookmarkEnd w:id="0"/>
      <w:r w:rsidR="00EE30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професійно-технічних та вищих закладів освіти.  На даному етапі </w:t>
      </w:r>
      <w:r w:rsidR="00EE3011" w:rsidRPr="00EE3011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основоположним</w:t>
      </w:r>
      <w:r w:rsidR="00EE30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заходом у покращенні освіти із загальних питань безпеки є прийняття законодавчих та нормативних документів, які б регламентували обов’язковість вивчення питань безпеки та </w:t>
      </w:r>
      <w:r w:rsidR="00461CD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 здоров’я.</w:t>
      </w:r>
    </w:p>
    <w:p w:rsidR="006F722F" w:rsidRDefault="006F722F" w:rsidP="00336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D7E3F" w:rsidRDefault="004D7E3F" w:rsidP="00336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D7E3F" w:rsidRDefault="004D7E3F" w:rsidP="00336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95FFE" w:rsidRDefault="00795FFE" w:rsidP="00336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01DEC" w:rsidRDefault="00B01DEC" w:rsidP="00B01D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sectPr w:rsidR="00B01DEC" w:rsidSect="00186978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59" w:rsidRDefault="00F67959" w:rsidP="00875335">
      <w:pPr>
        <w:spacing w:after="0" w:line="240" w:lineRule="auto"/>
      </w:pPr>
      <w:r>
        <w:separator/>
      </w:r>
    </w:p>
  </w:endnote>
  <w:endnote w:type="continuationSeparator" w:id="0">
    <w:p w:rsidR="00F67959" w:rsidRDefault="00F67959" w:rsidP="0087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59" w:rsidRDefault="00F67959" w:rsidP="00875335">
      <w:pPr>
        <w:spacing w:after="0" w:line="240" w:lineRule="auto"/>
      </w:pPr>
      <w:r>
        <w:separator/>
      </w:r>
    </w:p>
  </w:footnote>
  <w:footnote w:type="continuationSeparator" w:id="0">
    <w:p w:rsidR="00F67959" w:rsidRDefault="00F67959" w:rsidP="00875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68D6"/>
    <w:multiLevelType w:val="hybridMultilevel"/>
    <w:tmpl w:val="3968B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B4FE6"/>
    <w:multiLevelType w:val="hybridMultilevel"/>
    <w:tmpl w:val="ECB0C3AA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3065456"/>
    <w:multiLevelType w:val="hybridMultilevel"/>
    <w:tmpl w:val="59F6C6C2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769923F3"/>
    <w:multiLevelType w:val="hybridMultilevel"/>
    <w:tmpl w:val="D6F86498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3A"/>
    <w:rsid w:val="0010527E"/>
    <w:rsid w:val="0014785C"/>
    <w:rsid w:val="001767DC"/>
    <w:rsid w:val="00186978"/>
    <w:rsid w:val="001E1F97"/>
    <w:rsid w:val="00202B25"/>
    <w:rsid w:val="0026043A"/>
    <w:rsid w:val="00336ED3"/>
    <w:rsid w:val="00431AC2"/>
    <w:rsid w:val="00461CD7"/>
    <w:rsid w:val="00490A15"/>
    <w:rsid w:val="004D7E3F"/>
    <w:rsid w:val="00553A5D"/>
    <w:rsid w:val="00586D85"/>
    <w:rsid w:val="006D53E1"/>
    <w:rsid w:val="006F1C78"/>
    <w:rsid w:val="006F722F"/>
    <w:rsid w:val="0075007A"/>
    <w:rsid w:val="00774FF2"/>
    <w:rsid w:val="00795FFE"/>
    <w:rsid w:val="007B0135"/>
    <w:rsid w:val="007B3672"/>
    <w:rsid w:val="00815CF3"/>
    <w:rsid w:val="00875335"/>
    <w:rsid w:val="008C4714"/>
    <w:rsid w:val="00944B50"/>
    <w:rsid w:val="00946B5A"/>
    <w:rsid w:val="009C060E"/>
    <w:rsid w:val="00A311D2"/>
    <w:rsid w:val="00A50BF0"/>
    <w:rsid w:val="00AA676F"/>
    <w:rsid w:val="00AB4F3F"/>
    <w:rsid w:val="00B01DEC"/>
    <w:rsid w:val="00B116A8"/>
    <w:rsid w:val="00B762C0"/>
    <w:rsid w:val="00D04D49"/>
    <w:rsid w:val="00D51E4C"/>
    <w:rsid w:val="00D768D2"/>
    <w:rsid w:val="00E758B8"/>
    <w:rsid w:val="00EA34BF"/>
    <w:rsid w:val="00ED551B"/>
    <w:rsid w:val="00EE3011"/>
    <w:rsid w:val="00F36680"/>
    <w:rsid w:val="00F67959"/>
    <w:rsid w:val="00F8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4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6680"/>
    <w:rPr>
      <w:color w:val="0563C1" w:themeColor="hyperlink"/>
      <w:u w:val="single"/>
    </w:rPr>
  </w:style>
  <w:style w:type="paragraph" w:styleId="a5">
    <w:name w:val="endnote text"/>
    <w:basedOn w:val="a"/>
    <w:link w:val="a6"/>
    <w:uiPriority w:val="99"/>
    <w:unhideWhenUsed/>
    <w:rsid w:val="0087533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87533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7533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3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4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6680"/>
    <w:rPr>
      <w:color w:val="0563C1" w:themeColor="hyperlink"/>
      <w:u w:val="single"/>
    </w:rPr>
  </w:style>
  <w:style w:type="paragraph" w:styleId="a5">
    <w:name w:val="endnote text"/>
    <w:basedOn w:val="a"/>
    <w:link w:val="a6"/>
    <w:uiPriority w:val="99"/>
    <w:unhideWhenUsed/>
    <w:rsid w:val="0087533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87533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7533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3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lgGrid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spPr>
              <a:solidFill>
                <a:srgbClr val="969696"/>
              </a:solidFill>
            </c:spPr>
          </c:dPt>
          <c:dPt>
            <c:idx val="3"/>
            <c:bubble3D val="0"/>
            <c:spPr>
              <a:solidFill>
                <a:schemeClr val="bg2">
                  <a:lumMod val="50000"/>
                </a:schemeClr>
              </a:solidFill>
            </c:spPr>
          </c:dPt>
          <c:dPt>
            <c:idx val="4"/>
            <c:bubble3D val="0"/>
            <c:spPr>
              <a:pattFill prst="pct70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5"/>
            <c:bubble3D val="0"/>
            <c:spPr>
              <a:solidFill>
                <a:schemeClr val="tx1"/>
              </a:solidFill>
            </c:spPr>
          </c:dPt>
          <c:dLbls>
            <c:dLbl>
              <c:idx val="0"/>
              <c:layout>
                <c:manualLayout>
                  <c:x val="0.14582538712338963"/>
                  <c:y val="4.373410591222639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5031091090812448E-3"/>
                  <c:y val="-0.1871266307787585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364912719243428E-2"/>
                  <c:y val="-4.902067710572455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4329340317093656E-3"/>
                  <c:y val="-2.073447799345060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2515518893471646E-3"/>
                  <c:y val="-4.971045896653904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9.1122859642544685E-2"/>
                  <c:y val="1.415014585250863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Лист1!$C$35:$C$40</c:f>
              <c:strCache>
                <c:ptCount val="6"/>
                <c:pt idx="0">
                  <c:v>дуже цікаво</c:v>
                </c:pt>
                <c:pt idx="1">
                  <c:v>позитивно</c:v>
                </c:pt>
                <c:pt idx="2">
                  <c:v>нейтрально</c:v>
                </c:pt>
                <c:pt idx="3">
                  <c:v>індеферентно</c:v>
                </c:pt>
                <c:pt idx="4">
                  <c:v>негативно</c:v>
                </c:pt>
                <c:pt idx="5">
                  <c:v>не потрібно</c:v>
                </c:pt>
              </c:strCache>
            </c:strRef>
          </c:cat>
          <c:val>
            <c:numRef>
              <c:f>Лист1!$D$35:$D$40</c:f>
              <c:numCache>
                <c:formatCode>General</c:formatCode>
                <c:ptCount val="6"/>
                <c:pt idx="0">
                  <c:v>9.67741935483871</c:v>
                </c:pt>
                <c:pt idx="1">
                  <c:v>38.70967741935484</c:v>
                </c:pt>
                <c:pt idx="2">
                  <c:v>25.806451612903224</c:v>
                </c:pt>
                <c:pt idx="3">
                  <c:v>3.225806451612903</c:v>
                </c:pt>
                <c:pt idx="4">
                  <c:v>19.35483870967742</c:v>
                </c:pt>
                <c:pt idx="5">
                  <c:v>3.225806451612903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9F97-5015-4660-8E6D-51987C49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8</cp:revision>
  <dcterms:created xsi:type="dcterms:W3CDTF">2018-04-05T20:11:00Z</dcterms:created>
  <dcterms:modified xsi:type="dcterms:W3CDTF">2018-04-06T00:01:00Z</dcterms:modified>
</cp:coreProperties>
</file>